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3E30F" w14:textId="60FEAB72" w:rsidR="002874BD" w:rsidRPr="00863065" w:rsidRDefault="002874BD" w:rsidP="002874BD">
      <w:pPr>
        <w:pStyle w:val="a7"/>
        <w:tabs>
          <w:tab w:val="left" w:pos="709"/>
          <w:tab w:val="right" w:pos="9639"/>
        </w:tabs>
        <w:wordWrap w:val="0"/>
        <w:spacing w:after="0"/>
        <w:ind w:right="120"/>
        <w:jc w:val="right"/>
        <w:rPr>
          <w:rFonts w:cs="Arial"/>
          <w:lang w:eastAsia="ja-JP"/>
        </w:rPr>
      </w:pPr>
      <w:r w:rsidRPr="00863065">
        <w:rPr>
          <w:rFonts w:cs="Arial"/>
        </w:rPr>
        <w:t xml:space="preserve">3GPP </w:t>
      </w:r>
      <w:r w:rsidRPr="00863065">
        <w:rPr>
          <w:rFonts w:cs="Arial"/>
          <w:lang w:eastAsia="ja-JP"/>
        </w:rPr>
        <w:t>TSG-RAN</w:t>
      </w:r>
      <w:r>
        <w:rPr>
          <w:rFonts w:cs="Arial" w:hint="eastAsia"/>
          <w:lang w:eastAsia="ja-JP"/>
        </w:rPr>
        <w:t xml:space="preserve"> WG2 </w:t>
      </w:r>
      <w:r w:rsidRPr="00863065">
        <w:rPr>
          <w:rFonts w:cs="Arial"/>
          <w:lang w:eastAsia="ja-JP"/>
        </w:rPr>
        <w:t>#</w:t>
      </w:r>
      <w:r>
        <w:rPr>
          <w:rFonts w:cs="Arial"/>
          <w:lang w:eastAsia="ja-JP"/>
        </w:rPr>
        <w:t>122</w:t>
      </w:r>
      <w:r w:rsidRPr="00863065">
        <w:rPr>
          <w:rFonts w:cs="Arial"/>
        </w:rPr>
        <w:tab/>
        <w:t>R</w:t>
      </w:r>
      <w:r>
        <w:rPr>
          <w:rFonts w:cs="Arial" w:hint="eastAsia"/>
          <w:lang w:eastAsia="ja-JP"/>
        </w:rPr>
        <w:t>2</w:t>
      </w:r>
      <w:r w:rsidRPr="00863065">
        <w:rPr>
          <w:rFonts w:cs="Arial"/>
          <w:lang w:eastAsia="ja-JP"/>
        </w:rPr>
        <w:t>-</w:t>
      </w:r>
      <w:r w:rsidRPr="00422AAA">
        <w:rPr>
          <w:rFonts w:cs="Arial"/>
          <w:lang w:eastAsia="ja-JP"/>
        </w:rPr>
        <w:t>23</w:t>
      </w:r>
      <w:r w:rsidR="00A15C0C">
        <w:rPr>
          <w:rFonts w:cs="Arial"/>
          <w:lang w:eastAsia="ja-JP"/>
        </w:rPr>
        <w:t>06330</w:t>
      </w:r>
    </w:p>
    <w:p w14:paraId="228A9F5A" w14:textId="77777777" w:rsidR="002874BD" w:rsidRPr="00863065" w:rsidRDefault="002874BD" w:rsidP="002874BD">
      <w:pPr>
        <w:pStyle w:val="a7"/>
        <w:tabs>
          <w:tab w:val="left" w:pos="709"/>
          <w:tab w:val="right" w:pos="9639"/>
        </w:tabs>
        <w:spacing w:after="0"/>
        <w:jc w:val="left"/>
        <w:rPr>
          <w:rFonts w:cs="Arial"/>
          <w:lang w:val="en-US" w:eastAsia="ja-JP"/>
        </w:rPr>
      </w:pPr>
      <w:r w:rsidRPr="005E52E2">
        <w:rPr>
          <w:rFonts w:cs="Arial"/>
          <w:szCs w:val="24"/>
        </w:rPr>
        <w:t>Incheon, South Korea</w:t>
      </w:r>
      <w:r>
        <w:rPr>
          <w:rFonts w:cs="Arial"/>
          <w:lang w:val="en-US" w:eastAsia="ja-JP"/>
        </w:rPr>
        <w:t>, 22</w:t>
      </w:r>
      <w:r>
        <w:rPr>
          <w:rFonts w:cs="Arial"/>
          <w:vertAlign w:val="superscript"/>
          <w:lang w:val="en-US" w:eastAsia="ja-JP"/>
        </w:rPr>
        <w:t>nd</w:t>
      </w:r>
      <w:r>
        <w:rPr>
          <w:rFonts w:cs="Arial"/>
          <w:lang w:val="en-US" w:eastAsia="ja-JP"/>
        </w:rPr>
        <w:t xml:space="preserve"> –</w:t>
      </w:r>
      <w:r>
        <w:rPr>
          <w:rFonts w:cs="Arial" w:hint="eastAsia"/>
          <w:lang w:val="en-US" w:eastAsia="ja-JP"/>
        </w:rPr>
        <w:t xml:space="preserve"> </w:t>
      </w:r>
      <w:r>
        <w:rPr>
          <w:rFonts w:cs="Arial"/>
          <w:lang w:val="en-US" w:eastAsia="ja-JP"/>
        </w:rPr>
        <w:t>26</w:t>
      </w:r>
      <w:r>
        <w:rPr>
          <w:rFonts w:cs="Arial"/>
          <w:vertAlign w:val="superscript"/>
          <w:lang w:val="en-US" w:eastAsia="ja-JP"/>
        </w:rPr>
        <w:t>th</w:t>
      </w:r>
      <w:r>
        <w:rPr>
          <w:rFonts w:cs="Arial"/>
          <w:lang w:val="en-US" w:eastAsia="ja-JP"/>
        </w:rPr>
        <w:t xml:space="preserve"> May </w:t>
      </w:r>
      <w:r w:rsidRPr="00802E96">
        <w:rPr>
          <w:rFonts w:cs="Arial"/>
          <w:lang w:val="en-US" w:eastAsia="ja-JP"/>
        </w:rPr>
        <w:t>20</w:t>
      </w:r>
      <w:r>
        <w:rPr>
          <w:rFonts w:cs="Arial"/>
          <w:lang w:val="en-US" w:eastAsia="ja-JP"/>
        </w:rPr>
        <w:t>23</w:t>
      </w:r>
    </w:p>
    <w:p w14:paraId="3AF895BC" w14:textId="77777777" w:rsidR="007E2FC8" w:rsidRPr="002874BD" w:rsidRDefault="007E2FC8" w:rsidP="007E2FC8">
      <w:pPr>
        <w:pStyle w:val="a7"/>
        <w:pBdr>
          <w:bottom w:val="single" w:sz="4" w:space="1" w:color="auto"/>
        </w:pBdr>
        <w:tabs>
          <w:tab w:val="left" w:pos="709"/>
        </w:tabs>
        <w:spacing w:after="0"/>
        <w:jc w:val="left"/>
        <w:rPr>
          <w:rFonts w:cs="Arial"/>
          <w:lang w:val="en-US" w:eastAsia="ja-JP"/>
        </w:rPr>
      </w:pPr>
    </w:p>
    <w:p w14:paraId="6D9519F2" w14:textId="35536308" w:rsidR="007E2FC8" w:rsidRPr="00863065" w:rsidRDefault="007E2FC8" w:rsidP="007E2FC8">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Source:</w:t>
      </w:r>
      <w:r w:rsidR="002B674A">
        <w:rPr>
          <w:rFonts w:ascii="Arial" w:hAnsi="Arial" w:cs="Arial"/>
          <w:b/>
          <w:sz w:val="24"/>
          <w:lang w:val="en-US"/>
        </w:rPr>
        <w:tab/>
      </w:r>
      <w:r>
        <w:rPr>
          <w:rFonts w:ascii="Arial" w:hAnsi="Arial" w:cs="Arial" w:hint="eastAsia"/>
          <w:b/>
          <w:sz w:val="24"/>
          <w:lang w:val="en-US" w:eastAsia="ja-JP"/>
        </w:rPr>
        <w:t>NTT DOCOMO, INC.</w:t>
      </w:r>
    </w:p>
    <w:p w14:paraId="0C115227" w14:textId="614401D1" w:rsidR="007E2FC8" w:rsidRPr="00863065" w:rsidRDefault="007E2FC8" w:rsidP="002B674A">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Title:</w:t>
      </w:r>
      <w:r w:rsidR="002B674A">
        <w:rPr>
          <w:rFonts w:ascii="Arial" w:hAnsi="Arial" w:cs="Arial"/>
          <w:b/>
          <w:sz w:val="24"/>
        </w:rPr>
        <w:tab/>
      </w:r>
      <w:r w:rsidR="0084658A" w:rsidRPr="0084658A">
        <w:rPr>
          <w:rFonts w:ascii="Arial" w:hAnsi="Arial" w:cs="Arial"/>
          <w:b/>
          <w:sz w:val="24"/>
        </w:rPr>
        <w:t xml:space="preserve">Discussion on </w:t>
      </w:r>
      <w:r w:rsidR="002874BD" w:rsidRPr="002874BD">
        <w:rPr>
          <w:rFonts w:ascii="Arial" w:hAnsi="Arial" w:cs="Arial"/>
          <w:b/>
          <w:sz w:val="24"/>
        </w:rPr>
        <w:t>SR transmission during the Cell DRX non-active period</w:t>
      </w:r>
    </w:p>
    <w:p w14:paraId="0F8951C0" w14:textId="54BFF43A" w:rsidR="007E2FC8" w:rsidRPr="00863065" w:rsidRDefault="007E2FC8" w:rsidP="007E2FC8">
      <w:pPr>
        <w:keepNext/>
        <w:tabs>
          <w:tab w:val="left" w:pos="2552"/>
        </w:tabs>
        <w:rPr>
          <w:rFonts w:ascii="Arial" w:hAnsi="Arial" w:cs="Arial"/>
          <w:b/>
          <w:sz w:val="24"/>
          <w:lang w:eastAsia="ja-JP"/>
        </w:rPr>
      </w:pPr>
      <w:r w:rsidRPr="00863065">
        <w:rPr>
          <w:rFonts w:ascii="Arial" w:hAnsi="Arial" w:cs="Arial"/>
          <w:b/>
          <w:sz w:val="24"/>
        </w:rPr>
        <w:t>Document for:</w:t>
      </w:r>
      <w:r w:rsidR="002B674A">
        <w:rPr>
          <w:rFonts w:ascii="Arial" w:hAnsi="Arial" w:cs="Arial"/>
          <w:b/>
          <w:sz w:val="24"/>
        </w:rPr>
        <w:tab/>
      </w:r>
      <w:r>
        <w:rPr>
          <w:rFonts w:ascii="Arial" w:hAnsi="Arial" w:cs="Arial" w:hint="eastAsia"/>
          <w:b/>
          <w:sz w:val="24"/>
          <w:lang w:eastAsia="ja-JP"/>
        </w:rPr>
        <w:t>Discussion</w:t>
      </w:r>
    </w:p>
    <w:p w14:paraId="2211F357" w14:textId="310286EF" w:rsidR="007E2FC8" w:rsidRPr="00863065" w:rsidRDefault="007E2FC8" w:rsidP="007E2FC8">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Agenda Item:</w:t>
      </w:r>
      <w:r w:rsidR="002B674A">
        <w:rPr>
          <w:rFonts w:ascii="Arial" w:hAnsi="Arial" w:cs="Arial"/>
          <w:b/>
          <w:sz w:val="24"/>
        </w:rPr>
        <w:tab/>
      </w:r>
      <w:r w:rsidR="009B3BE5">
        <w:rPr>
          <w:rFonts w:ascii="Arial" w:hAnsi="Arial" w:cs="Arial" w:hint="eastAsia"/>
          <w:b/>
          <w:sz w:val="24"/>
          <w:lang w:eastAsia="ja-JP"/>
        </w:rPr>
        <w:t>7</w:t>
      </w:r>
      <w:r>
        <w:rPr>
          <w:rFonts w:ascii="Arial" w:hAnsi="Arial" w:cs="Arial"/>
          <w:b/>
          <w:sz w:val="24"/>
          <w:lang w:eastAsia="ja-JP"/>
        </w:rPr>
        <w:t>.</w:t>
      </w:r>
      <w:r w:rsidR="009B3BE5">
        <w:rPr>
          <w:rFonts w:ascii="Arial" w:hAnsi="Arial" w:cs="Arial" w:hint="eastAsia"/>
          <w:b/>
          <w:sz w:val="24"/>
          <w:lang w:eastAsia="ja-JP"/>
        </w:rPr>
        <w:t>3</w:t>
      </w:r>
      <w:r>
        <w:rPr>
          <w:rFonts w:ascii="Arial" w:hAnsi="Arial" w:cs="Arial"/>
          <w:b/>
          <w:sz w:val="24"/>
          <w:lang w:eastAsia="ja-JP"/>
        </w:rPr>
        <w:t>.</w:t>
      </w:r>
      <w:r w:rsidR="009B3BE5">
        <w:rPr>
          <w:rFonts w:ascii="Arial" w:hAnsi="Arial" w:cs="Arial" w:hint="eastAsia"/>
          <w:b/>
          <w:sz w:val="24"/>
          <w:lang w:eastAsia="ja-JP"/>
        </w:rPr>
        <w:t>2</w:t>
      </w:r>
    </w:p>
    <w:p w14:paraId="25B11A1D" w14:textId="77777777" w:rsidR="007E2FC8" w:rsidRDefault="007E2FC8" w:rsidP="007E2FC8">
      <w:pPr>
        <w:pStyle w:val="2"/>
        <w:numPr>
          <w:ilvl w:val="0"/>
          <w:numId w:val="1"/>
        </w:numPr>
        <w:rPr>
          <w:rFonts w:cs="Arial"/>
          <w:lang w:eastAsia="ja-JP"/>
        </w:rPr>
      </w:pPr>
      <w:r w:rsidRPr="00863065">
        <w:rPr>
          <w:rFonts w:cs="Arial"/>
          <w:lang w:eastAsia="ja-JP"/>
        </w:rPr>
        <w:t>Introduction</w:t>
      </w:r>
    </w:p>
    <w:p w14:paraId="6ADD68CE" w14:textId="1CD32B30" w:rsidR="009B3BE5" w:rsidRDefault="009B3BE5" w:rsidP="009B3BE5">
      <w:pPr>
        <w:pStyle w:val="NO"/>
        <w:spacing w:after="300"/>
        <w:ind w:left="0" w:firstLine="0"/>
        <w:rPr>
          <w:lang w:eastAsia="zh-CN"/>
        </w:rPr>
      </w:pPr>
      <w:r>
        <w:rPr>
          <w:noProof/>
          <w:lang w:eastAsia="zh-CN"/>
        </w:rPr>
        <mc:AlternateContent>
          <mc:Choice Requires="wps">
            <w:drawing>
              <wp:anchor distT="0" distB="0" distL="114300" distR="114300" simplePos="0" relativeHeight="251659264" behindDoc="0" locked="0" layoutInCell="1" allowOverlap="1" wp14:anchorId="4B0A8D43" wp14:editId="53F8624C">
                <wp:simplePos x="0" y="0"/>
                <wp:positionH relativeFrom="margin">
                  <wp:align>center</wp:align>
                </wp:positionH>
                <wp:positionV relativeFrom="paragraph">
                  <wp:posOffset>384365</wp:posOffset>
                </wp:positionV>
                <wp:extent cx="5478780" cy="1263600"/>
                <wp:effectExtent l="0" t="0" r="26670" b="13335"/>
                <wp:wrapTopAndBottom/>
                <wp:docPr id="5" name="Text Box 5"/>
                <wp:cNvGraphicFramePr/>
                <a:graphic xmlns:a="http://schemas.openxmlformats.org/drawingml/2006/main">
                  <a:graphicData uri="http://schemas.microsoft.com/office/word/2010/wordprocessingShape">
                    <wps:wsp>
                      <wps:cNvSpPr txBox="1"/>
                      <wps:spPr>
                        <a:xfrm>
                          <a:off x="0" y="0"/>
                          <a:ext cx="5478780" cy="1263600"/>
                        </a:xfrm>
                        <a:prstGeom prst="rect">
                          <a:avLst/>
                        </a:prstGeom>
                        <a:solidFill>
                          <a:schemeClr val="lt1"/>
                        </a:solidFill>
                        <a:ln w="6350">
                          <a:solidFill>
                            <a:prstClr val="black"/>
                          </a:solidFill>
                        </a:ln>
                      </wps:spPr>
                      <wps:txbx>
                        <w:txbxContent>
                          <w:p w14:paraId="2C0453A5" w14:textId="77777777" w:rsidR="009B3BE5" w:rsidRPr="00347FE8" w:rsidRDefault="009B3BE5" w:rsidP="009B3BE5">
                            <w:pPr>
                              <w:numPr>
                                <w:ilvl w:val="0"/>
                                <w:numId w:val="33"/>
                              </w:numPr>
                              <w:spacing w:after="0"/>
                              <w:textAlignment w:val="baseline"/>
                              <w:rPr>
                                <w:bCs/>
                              </w:rPr>
                            </w:pPr>
                            <w:r w:rsidRPr="00347FE8">
                              <w:rPr>
                                <w:bCs/>
                              </w:rPr>
                              <w:t>Specify enhancement on cell DTX/DRX mechanism including the alignment of cell DTX/DRX and UE DRX in RRC_CONNECTED mode, and inter-node information exchange on cell DTX/DRX [RAN2, RAN1, RAN3]</w:t>
                            </w:r>
                          </w:p>
                          <w:p w14:paraId="3D09BD7A" w14:textId="77777777" w:rsidR="009B3BE5" w:rsidRPr="00347FE8" w:rsidRDefault="009B3BE5" w:rsidP="009B3BE5">
                            <w:pPr>
                              <w:numPr>
                                <w:ilvl w:val="0"/>
                                <w:numId w:val="32"/>
                              </w:numPr>
                              <w:overflowPunct w:val="0"/>
                              <w:autoSpaceDE w:val="0"/>
                              <w:autoSpaceDN w:val="0"/>
                              <w:adjustRightInd w:val="0"/>
                              <w:spacing w:beforeLines="50" w:before="120" w:afterLines="50" w:after="120"/>
                              <w:ind w:left="1049" w:hanging="329"/>
                              <w:textAlignment w:val="baseline"/>
                              <w:rPr>
                                <w:bCs/>
                                <w:lang w:eastAsia="zh-CN"/>
                              </w:rPr>
                            </w:pPr>
                            <w:r w:rsidRPr="00347FE8">
                              <w:rPr>
                                <w:bCs/>
                                <w:lang w:eastAsia="zh-CN"/>
                              </w:rPr>
                              <w:t>Note: No change for SSB transmission due to cell DTX/DRX.</w:t>
                            </w:r>
                          </w:p>
                          <w:p w14:paraId="39B6D7AC" w14:textId="77777777" w:rsidR="009B3BE5" w:rsidRPr="00347FE8" w:rsidRDefault="009B3BE5" w:rsidP="009B3BE5">
                            <w:pPr>
                              <w:numPr>
                                <w:ilvl w:val="0"/>
                                <w:numId w:val="32"/>
                              </w:numPr>
                              <w:overflowPunct w:val="0"/>
                              <w:autoSpaceDE w:val="0"/>
                              <w:autoSpaceDN w:val="0"/>
                              <w:adjustRightInd w:val="0"/>
                              <w:spacing w:beforeLines="50" w:before="120" w:afterLines="50" w:after="120"/>
                              <w:ind w:left="1049" w:hanging="329"/>
                              <w:textAlignment w:val="baseline"/>
                              <w:rPr>
                                <w:bCs/>
                                <w:lang w:eastAsia="zh-CN"/>
                              </w:rPr>
                            </w:pPr>
                            <w:r w:rsidRPr="00347FE8">
                              <w:rPr>
                                <w:bCs/>
                                <w:lang w:eastAsia="zh-CN"/>
                              </w:rPr>
                              <w:t xml:space="preserve">Note: The impact to IDLE/INACTIVE UEs due to the above enhancement should be </w:t>
                            </w:r>
                            <w:r w:rsidRPr="00D2416E">
                              <w:rPr>
                                <w:bCs/>
                                <w:lang w:eastAsia="zh-CN"/>
                              </w:rPr>
                              <w:t>avoided</w:t>
                            </w:r>
                            <w:r w:rsidRPr="00347FE8">
                              <w:rPr>
                                <w:bCs/>
                                <w:lang w:eastAsia="zh-CN"/>
                              </w:rPr>
                              <w:t>.</w:t>
                            </w:r>
                          </w:p>
                          <w:p w14:paraId="367CBFF8" w14:textId="77777777" w:rsidR="009B3BE5" w:rsidRDefault="009B3BE5" w:rsidP="009B3BE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B0A8D43" id="_x0000_t202" coordsize="21600,21600" o:spt="202" path="m,l,21600r21600,l21600,xe">
                <v:stroke joinstyle="miter"/>
                <v:path gradientshapeok="t" o:connecttype="rect"/>
              </v:shapetype>
              <v:shape id="Text Box 5" o:spid="_x0000_s1026" type="#_x0000_t202" style="position:absolute;margin-left:0;margin-top:30.25pt;width:431.4pt;height:99.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UNeOAIAAH0EAAAOAAAAZHJzL2Uyb0RvYy54bWysVN+P2jAMfp+0/yHK+2jhgGMV5cQ4MU1C&#10;dydx0z2HNKHV0jhLAi376+eE8uu2p2kvqR07n+3PdqcPba3IXlhXgc5pv5dSIjSHotLbnH5/XX6a&#10;UOI80wVToEVOD8LRh9nHD9PGZGIAJahCWIIg2mWNyWnpvcmSxPFS1Mz1wAiNRgm2Zh5Vu00KyxpE&#10;r1UySNNx0oAtjAUunMPbx6ORziK+lIL7Zymd8ETlFHPz8bTx3IQzmU1ZtrXMlBXv0mD/kEXNKo1B&#10;z1CPzDOys9UfUHXFLTiQvsehTkDKiotYA1bTT99Vsy6ZEbEWJMeZM03u/8Hyp/3avFji2y/QYgMD&#10;IY1xmcPLUE8rbR2+mClBO1J4ONMmWk84Xo6G95P7CZo42vqD8d04jcQml+fGOv9VQE2CkFOLfYl0&#10;sf3KeQyJrieXEM2BqoplpVRUwiyIhbJkz7CLysck8cWNl9Kkyen4bpRG4BtbgD6/3yjGf4QybxFQ&#10;UxovL8UHybebtmNkA8UBibJwnCFn+LJC3BVz/oVZHBokABfBP+MhFWAy0EmUlGB//e0++GMv0UpJ&#10;g0OYU/dzx6ygRH3T2OXP/eEwTG1UhqP7ASr22rK5tuhdvQBkqI8rZ3gUg79XJ1FaqN9wX+YhKpqY&#10;5hg7p/4kLvxxNXDfuJjPoxPOqWF+pdeGB+jQkcDna/vGrOn66XEUnuA0rix719ajb3ipYb7zIKvY&#10;80DwkdWOd5zx2JZuH8MSXevR6/LXmP0GAAD//wMAUEsDBBQABgAIAAAAIQC3plBd2wAAAAcBAAAP&#10;AAAAZHJzL2Rvd25yZXYueG1sTI8xT8MwFIR3JP6D9ZDYqNNIidIQpyqosDDRIubX2LUtYjuy3TT8&#10;ex4TjKc73X3XbRc3slnFZIMXsF4VwJQfgrReC/g4vjw0wFJGL3EMXgn4Vgm2/e1Nh60MV/+u5kPW&#10;jEp8alGAyXlqOU+DUQ7TKkzKk3cO0WEmGTWXEa9U7kZeFkXNHVpPCwYn9WzU8HW4OAH7J73RQ4PR&#10;7Btp7bx8nt/0qxD3d8vuEVhWS/4Lwy8+oUNPTKdw8TKxUQAdyQLqogJGblOXdOQkoKw2FfC+4//5&#10;+x8AAAD//wMAUEsBAi0AFAAGAAgAAAAhALaDOJL+AAAA4QEAABMAAAAAAAAAAAAAAAAAAAAAAFtD&#10;b250ZW50X1R5cGVzXS54bWxQSwECLQAUAAYACAAAACEAOP0h/9YAAACUAQAACwAAAAAAAAAAAAAA&#10;AAAvAQAAX3JlbHMvLnJlbHNQSwECLQAUAAYACAAAACEAWVlDXjgCAAB9BAAADgAAAAAAAAAAAAAA&#10;AAAuAgAAZHJzL2Uyb0RvYy54bWxQSwECLQAUAAYACAAAACEAt6ZQXdsAAAAHAQAADwAAAAAAAAAA&#10;AAAAAACSBAAAZHJzL2Rvd25yZXYueG1sUEsFBgAAAAAEAAQA8wAAAJoFAAAAAA==&#10;" fillcolor="white [3201]" strokeweight=".5pt">
                <v:textbox>
                  <w:txbxContent>
                    <w:p w14:paraId="2C0453A5" w14:textId="77777777" w:rsidR="009B3BE5" w:rsidRPr="00347FE8" w:rsidRDefault="009B3BE5" w:rsidP="009B3BE5">
                      <w:pPr>
                        <w:numPr>
                          <w:ilvl w:val="0"/>
                          <w:numId w:val="33"/>
                        </w:numPr>
                        <w:spacing w:after="0"/>
                        <w:textAlignment w:val="baseline"/>
                        <w:rPr>
                          <w:bCs/>
                        </w:rPr>
                      </w:pPr>
                      <w:r w:rsidRPr="00347FE8">
                        <w:rPr>
                          <w:bCs/>
                        </w:rPr>
                        <w:t>Specify enhancement on cell DTX/DRX mechanism including the alignment of cell DTX/DRX and UE DRX in RRC_CONNECTED mode, and inter-node information exchange on cell DTX/DRX [RAN2, RAN1, RAN3]</w:t>
                      </w:r>
                    </w:p>
                    <w:p w14:paraId="3D09BD7A" w14:textId="77777777" w:rsidR="009B3BE5" w:rsidRPr="00347FE8" w:rsidRDefault="009B3BE5" w:rsidP="009B3BE5">
                      <w:pPr>
                        <w:numPr>
                          <w:ilvl w:val="0"/>
                          <w:numId w:val="32"/>
                        </w:numPr>
                        <w:overflowPunct w:val="0"/>
                        <w:autoSpaceDE w:val="0"/>
                        <w:autoSpaceDN w:val="0"/>
                        <w:adjustRightInd w:val="0"/>
                        <w:spacing w:beforeLines="50" w:before="120" w:afterLines="50" w:after="120"/>
                        <w:ind w:left="1049" w:hanging="329"/>
                        <w:textAlignment w:val="baseline"/>
                        <w:rPr>
                          <w:bCs/>
                          <w:lang w:eastAsia="zh-CN"/>
                        </w:rPr>
                      </w:pPr>
                      <w:r w:rsidRPr="00347FE8">
                        <w:rPr>
                          <w:bCs/>
                          <w:lang w:eastAsia="zh-CN"/>
                        </w:rPr>
                        <w:t>Note: No change for SSB transmission due to cell DTX/DRX.</w:t>
                      </w:r>
                    </w:p>
                    <w:p w14:paraId="39B6D7AC" w14:textId="77777777" w:rsidR="009B3BE5" w:rsidRPr="00347FE8" w:rsidRDefault="009B3BE5" w:rsidP="009B3BE5">
                      <w:pPr>
                        <w:numPr>
                          <w:ilvl w:val="0"/>
                          <w:numId w:val="32"/>
                        </w:numPr>
                        <w:overflowPunct w:val="0"/>
                        <w:autoSpaceDE w:val="0"/>
                        <w:autoSpaceDN w:val="0"/>
                        <w:adjustRightInd w:val="0"/>
                        <w:spacing w:beforeLines="50" w:before="120" w:afterLines="50" w:after="120"/>
                        <w:ind w:left="1049" w:hanging="329"/>
                        <w:textAlignment w:val="baseline"/>
                        <w:rPr>
                          <w:bCs/>
                          <w:lang w:eastAsia="zh-CN"/>
                        </w:rPr>
                      </w:pPr>
                      <w:r w:rsidRPr="00347FE8">
                        <w:rPr>
                          <w:bCs/>
                          <w:lang w:eastAsia="zh-CN"/>
                        </w:rPr>
                        <w:t xml:space="preserve">Note: The impact to IDLE/INACTIVE UEs due to the above enhancement should be </w:t>
                      </w:r>
                      <w:r w:rsidRPr="00D2416E">
                        <w:rPr>
                          <w:bCs/>
                          <w:lang w:eastAsia="zh-CN"/>
                        </w:rPr>
                        <w:t>avoided</w:t>
                      </w:r>
                      <w:r w:rsidRPr="00347FE8">
                        <w:rPr>
                          <w:bCs/>
                          <w:lang w:eastAsia="zh-CN"/>
                        </w:rPr>
                        <w:t>.</w:t>
                      </w:r>
                    </w:p>
                    <w:p w14:paraId="367CBFF8" w14:textId="77777777" w:rsidR="009B3BE5" w:rsidRDefault="009B3BE5" w:rsidP="009B3BE5"/>
                  </w:txbxContent>
                </v:textbox>
                <w10:wrap type="topAndBottom" anchorx="margin"/>
              </v:shape>
            </w:pict>
          </mc:Fallback>
        </mc:AlternateContent>
      </w:r>
      <w:r>
        <w:rPr>
          <w:lang w:eastAsia="zh-CN"/>
        </w:rPr>
        <w:t xml:space="preserve">The Network Energy saving (NES) WID RP-223540 was agreed in RAN#98-e [1] , and the WI objective on Cell DTX/DRX is as follows; </w:t>
      </w:r>
    </w:p>
    <w:p w14:paraId="52942361" w14:textId="74C4F1F0" w:rsidR="00C639CE" w:rsidRDefault="00C639CE" w:rsidP="00C639CE">
      <w:pPr>
        <w:rPr>
          <w:rFonts w:eastAsia="SimSun"/>
          <w:bCs/>
          <w:sz w:val="20"/>
          <w:lang w:val="en-US" w:eastAsia="en-GB"/>
        </w:rPr>
      </w:pPr>
    </w:p>
    <w:p w14:paraId="42826E36" w14:textId="495CCFBE" w:rsidR="009F382E" w:rsidRPr="009F382E" w:rsidRDefault="009F382E" w:rsidP="00C639CE">
      <w:pPr>
        <w:rPr>
          <w:rFonts w:eastAsiaTheme="minorEastAsia"/>
          <w:bCs/>
          <w:sz w:val="20"/>
          <w:lang w:val="en-US" w:eastAsia="ja-JP"/>
        </w:rPr>
      </w:pPr>
      <w:r>
        <w:rPr>
          <w:rFonts w:eastAsiaTheme="minorEastAsia" w:hint="eastAsia"/>
          <w:bCs/>
          <w:sz w:val="20"/>
          <w:lang w:val="en-US" w:eastAsia="ja-JP"/>
        </w:rPr>
        <w:t>I</w:t>
      </w:r>
      <w:r>
        <w:rPr>
          <w:rFonts w:eastAsiaTheme="minorEastAsia"/>
          <w:bCs/>
          <w:sz w:val="20"/>
          <w:lang w:val="en-US" w:eastAsia="ja-JP"/>
        </w:rPr>
        <w:t>n RAN2#121-bis-e, following agreements are made;</w:t>
      </w:r>
    </w:p>
    <w:p w14:paraId="65FD9285" w14:textId="77777777" w:rsidR="009F382E" w:rsidRPr="00F55161" w:rsidRDefault="009F382E" w:rsidP="009F382E">
      <w:pPr>
        <w:pStyle w:val="Doc-text2"/>
        <w:pBdr>
          <w:top w:val="single" w:sz="4" w:space="1" w:color="auto"/>
          <w:left w:val="single" w:sz="4" w:space="4" w:color="auto"/>
          <w:bottom w:val="single" w:sz="4" w:space="1" w:color="auto"/>
          <w:right w:val="single" w:sz="4" w:space="4" w:color="auto"/>
        </w:pBdr>
        <w:ind w:leftChars="272" w:left="961"/>
        <w:rPr>
          <w:b/>
          <w:bCs/>
        </w:rPr>
      </w:pPr>
      <w:r w:rsidRPr="00F55161">
        <w:rPr>
          <w:b/>
          <w:bCs/>
        </w:rPr>
        <w:t xml:space="preserve">Agreements </w:t>
      </w:r>
    </w:p>
    <w:p w14:paraId="4BEAE470" w14:textId="77777777" w:rsidR="009F382E" w:rsidRDefault="009F382E" w:rsidP="009F382E">
      <w:pPr>
        <w:pStyle w:val="Doc-text2"/>
        <w:numPr>
          <w:ilvl w:val="0"/>
          <w:numId w:val="36"/>
        </w:numPr>
        <w:pBdr>
          <w:top w:val="single" w:sz="4" w:space="1" w:color="auto"/>
          <w:left w:val="single" w:sz="4" w:space="4" w:color="auto"/>
          <w:bottom w:val="single" w:sz="4" w:space="1" w:color="auto"/>
          <w:right w:val="single" w:sz="4" w:space="4" w:color="auto"/>
        </w:pBdr>
        <w:ind w:leftChars="272" w:left="958"/>
      </w:pPr>
      <w:r>
        <w:t xml:space="preserve">A periodic cell DTX/DRX configuration is explicitly signalled to the UEs. </w:t>
      </w:r>
    </w:p>
    <w:p w14:paraId="0D4A7AA7" w14:textId="77777777" w:rsidR="009F382E" w:rsidRDefault="009F382E" w:rsidP="009F382E">
      <w:pPr>
        <w:pStyle w:val="Doc-text2"/>
        <w:numPr>
          <w:ilvl w:val="0"/>
          <w:numId w:val="36"/>
        </w:numPr>
        <w:pBdr>
          <w:top w:val="single" w:sz="4" w:space="1" w:color="auto"/>
          <w:left w:val="single" w:sz="4" w:space="4" w:color="auto"/>
          <w:bottom w:val="single" w:sz="4" w:space="1" w:color="auto"/>
          <w:right w:val="single" w:sz="4" w:space="4" w:color="auto"/>
        </w:pBdr>
        <w:ind w:leftChars="272" w:left="958"/>
      </w:pPr>
      <w:r>
        <w:t xml:space="preserve">A periodic cell DTX/DRX pattern is configured by UE specific RRC signalling. </w:t>
      </w:r>
    </w:p>
    <w:p w14:paraId="7D500399" w14:textId="77777777" w:rsidR="009F382E" w:rsidRDefault="009F382E" w:rsidP="009F382E">
      <w:pPr>
        <w:pStyle w:val="Doc-text2"/>
        <w:numPr>
          <w:ilvl w:val="0"/>
          <w:numId w:val="36"/>
        </w:numPr>
        <w:pBdr>
          <w:top w:val="single" w:sz="4" w:space="1" w:color="auto"/>
          <w:left w:val="single" w:sz="4" w:space="4" w:color="auto"/>
          <w:bottom w:val="single" w:sz="4" w:space="1" w:color="auto"/>
          <w:right w:val="single" w:sz="4" w:space="4" w:color="auto"/>
        </w:pBdr>
        <w:ind w:leftChars="272" w:left="958"/>
      </w:pPr>
      <w:r>
        <w:t xml:space="preserve">The Cell DTX/DRX configuration contains at least: periodicity, start slot/offset, on duration. </w:t>
      </w:r>
    </w:p>
    <w:p w14:paraId="01A707DC" w14:textId="77777777" w:rsidR="009F382E" w:rsidRDefault="009F382E" w:rsidP="009F382E">
      <w:pPr>
        <w:pStyle w:val="Doc-text2"/>
        <w:numPr>
          <w:ilvl w:val="0"/>
          <w:numId w:val="36"/>
        </w:numPr>
        <w:pBdr>
          <w:top w:val="single" w:sz="4" w:space="1" w:color="auto"/>
          <w:left w:val="single" w:sz="4" w:space="4" w:color="auto"/>
          <w:bottom w:val="single" w:sz="4" w:space="1" w:color="auto"/>
          <w:right w:val="single" w:sz="4" w:space="4" w:color="auto"/>
        </w:pBdr>
        <w:ind w:leftChars="272" w:left="958"/>
      </w:pPr>
      <w:r w:rsidRPr="00FF291E">
        <w:t xml:space="preserve">As a baseline Cell DTX/DRX is activated/deactivated implicitly by RRC signalling, i.e. activated immediately once configured by RRC and deactivated once the RRC configuration is released. </w:t>
      </w:r>
    </w:p>
    <w:p w14:paraId="7FE53F63" w14:textId="77777777" w:rsidR="009F382E" w:rsidRDefault="009F382E" w:rsidP="009F382E">
      <w:pPr>
        <w:pStyle w:val="Doc-text2"/>
        <w:numPr>
          <w:ilvl w:val="0"/>
          <w:numId w:val="36"/>
        </w:numPr>
        <w:pBdr>
          <w:top w:val="single" w:sz="4" w:space="1" w:color="auto"/>
          <w:left w:val="single" w:sz="4" w:space="4" w:color="auto"/>
          <w:bottom w:val="single" w:sz="4" w:space="1" w:color="auto"/>
          <w:right w:val="single" w:sz="4" w:space="4" w:color="auto"/>
        </w:pBdr>
        <w:ind w:leftChars="272" w:left="958"/>
      </w:pPr>
      <w:r w:rsidRPr="00A175BC">
        <w:t>From RAN2 point of view, majority companies see a benefit with L1 signalling for Cell DTX/DRX activation/deactivation, send a LS to RAN1</w:t>
      </w:r>
      <w:r>
        <w:t xml:space="preserve"> (email 308)</w:t>
      </w:r>
      <w:r w:rsidRPr="00A175BC">
        <w:t xml:space="preserve"> with our preference and ask about feasibility and design details.  </w:t>
      </w:r>
      <w:r>
        <w:t xml:space="preserve"> Ask about feasibility and reliability of using L1 signaling.  C</w:t>
      </w:r>
      <w:r w:rsidRPr="00852E03">
        <w:t xml:space="preserve">larify that </w:t>
      </w:r>
      <w:r>
        <w:t>the question is about activation/deactivation copy the agreement from last meeting that we are focusing on single configuration.  Extract a few key benefits of dynamic signaling from email discussion and online discussions</w:t>
      </w:r>
    </w:p>
    <w:p w14:paraId="18BDA936" w14:textId="77777777" w:rsidR="009F382E" w:rsidRDefault="009F382E" w:rsidP="009F382E">
      <w:pPr>
        <w:pStyle w:val="Doc-text2"/>
        <w:numPr>
          <w:ilvl w:val="0"/>
          <w:numId w:val="36"/>
        </w:numPr>
        <w:pBdr>
          <w:top w:val="single" w:sz="4" w:space="1" w:color="auto"/>
          <w:left w:val="single" w:sz="4" w:space="4" w:color="auto"/>
          <w:bottom w:val="single" w:sz="4" w:space="1" w:color="auto"/>
          <w:right w:val="single" w:sz="4" w:space="4" w:color="auto"/>
        </w:pBdr>
        <w:ind w:leftChars="272" w:left="958"/>
      </w:pPr>
      <w:r>
        <w:t>As baseline, UE doesn’t monitor SPS occasions during Cell DTX non-active period. As baseline, gNB is assumed to be not transmitting PDSCH to that UE on such SPS occasions during the Cell DTX non-active period</w:t>
      </w:r>
    </w:p>
    <w:p w14:paraId="3F113F61" w14:textId="77777777" w:rsidR="009F382E" w:rsidRDefault="009F382E" w:rsidP="009F382E">
      <w:pPr>
        <w:pStyle w:val="Doc-text2"/>
        <w:numPr>
          <w:ilvl w:val="0"/>
          <w:numId w:val="36"/>
        </w:numPr>
        <w:pBdr>
          <w:top w:val="single" w:sz="4" w:space="1" w:color="auto"/>
          <w:left w:val="single" w:sz="4" w:space="4" w:color="auto"/>
          <w:bottom w:val="single" w:sz="4" w:space="1" w:color="auto"/>
          <w:right w:val="single" w:sz="4" w:space="4" w:color="auto"/>
        </w:pBdr>
        <w:ind w:leftChars="272" w:left="958"/>
      </w:pPr>
      <w:r w:rsidRPr="00812830">
        <w:t xml:space="preserve">As baseline, UE does not transmit on CG occasions </w:t>
      </w:r>
      <w:r>
        <w:t>during</w:t>
      </w:r>
      <w:r w:rsidRPr="00812830">
        <w:t xml:space="preserve"> Cell DRX non-active periods</w:t>
      </w:r>
    </w:p>
    <w:p w14:paraId="13B94003" w14:textId="77777777" w:rsidR="009F382E" w:rsidRDefault="009F382E" w:rsidP="009F382E">
      <w:pPr>
        <w:pStyle w:val="Doc-text2"/>
        <w:numPr>
          <w:ilvl w:val="0"/>
          <w:numId w:val="36"/>
        </w:numPr>
        <w:pBdr>
          <w:top w:val="single" w:sz="4" w:space="1" w:color="auto"/>
          <w:left w:val="single" w:sz="4" w:space="4" w:color="auto"/>
          <w:bottom w:val="single" w:sz="4" w:space="1" w:color="auto"/>
          <w:right w:val="single" w:sz="4" w:space="4" w:color="auto"/>
        </w:pBdr>
        <w:ind w:leftChars="272" w:left="958"/>
      </w:pPr>
      <w:r w:rsidRPr="00FB4EBA">
        <w:t xml:space="preserve">As baseline, UE does not transmit SR occasions overlapping with Cell DRX non-active periods, e.g. SR transmissions are dropped during the non-active period </w:t>
      </w:r>
    </w:p>
    <w:p w14:paraId="44D9696A" w14:textId="77777777" w:rsidR="009F382E" w:rsidRPr="0066625C" w:rsidRDefault="009F382E" w:rsidP="009F382E">
      <w:pPr>
        <w:pStyle w:val="Doc-text2"/>
        <w:pBdr>
          <w:top w:val="single" w:sz="4" w:space="1" w:color="auto"/>
          <w:left w:val="single" w:sz="4" w:space="4" w:color="auto"/>
          <w:bottom w:val="single" w:sz="4" w:space="1" w:color="auto"/>
          <w:right w:val="single" w:sz="4" w:space="4" w:color="auto"/>
        </w:pBdr>
        <w:ind w:leftChars="272" w:left="598" w:firstLine="0"/>
      </w:pPr>
      <w:r w:rsidRPr="009F382E">
        <w:rPr>
          <w:highlight w:val="yellow"/>
        </w:rPr>
        <w:t>FFS: whether we will allow to configure the UE per SR configuration with whether SR can be transmitted during Cell DRX non-active period to to support high priority traffic</w:t>
      </w:r>
      <w:r w:rsidRPr="0066625C">
        <w:t xml:space="preserve"> </w:t>
      </w:r>
    </w:p>
    <w:p w14:paraId="63ADD56E" w14:textId="77777777" w:rsidR="009F382E" w:rsidRDefault="009F382E" w:rsidP="009F382E">
      <w:pPr>
        <w:pStyle w:val="Doc-text2"/>
        <w:numPr>
          <w:ilvl w:val="0"/>
          <w:numId w:val="36"/>
        </w:numPr>
        <w:pBdr>
          <w:top w:val="single" w:sz="4" w:space="1" w:color="auto"/>
          <w:left w:val="single" w:sz="4" w:space="4" w:color="auto"/>
          <w:bottom w:val="single" w:sz="4" w:space="1" w:color="auto"/>
          <w:right w:val="single" w:sz="4" w:space="4" w:color="auto"/>
        </w:pBdr>
        <w:ind w:leftChars="272" w:left="958"/>
      </w:pPr>
      <w:r>
        <w:t xml:space="preserve">(for the SRs that will be dropped) </w:t>
      </w:r>
      <w:r w:rsidRPr="00DA16A1">
        <w:t>If SR is not to be transmitted on an PUCCH occasion during Cell DRX non-active time, the UE keep the SR pending, i.e., the UE delays the SR transmission till the Cell DRX active period without triggering RACH</w:t>
      </w:r>
      <w:r>
        <w:t xml:space="preserve">.  For the FFS case there may be some exceptions.  </w:t>
      </w:r>
    </w:p>
    <w:p w14:paraId="1EE1D992" w14:textId="77777777" w:rsidR="009F382E" w:rsidRPr="002874BD" w:rsidRDefault="009F382E" w:rsidP="009F382E">
      <w:pPr>
        <w:pStyle w:val="Doc-text2"/>
        <w:numPr>
          <w:ilvl w:val="0"/>
          <w:numId w:val="36"/>
        </w:numPr>
        <w:pBdr>
          <w:top w:val="single" w:sz="4" w:space="1" w:color="auto"/>
          <w:left w:val="single" w:sz="4" w:space="4" w:color="auto"/>
          <w:bottom w:val="single" w:sz="4" w:space="1" w:color="auto"/>
          <w:right w:val="single" w:sz="4" w:space="4" w:color="auto"/>
        </w:pBdr>
        <w:ind w:leftChars="272" w:left="958"/>
      </w:pPr>
      <w:r w:rsidRPr="0002317C">
        <w:t xml:space="preserve">The understanding for the gNB scheduling behaviour for new transmissions during Cell DTX non-active period is that the gNB does not schedule UE-specific dynamic grants/assignments, even if the UE is in C-DRX Active Time.   UE doesn’t monitor PDCCH for dynamic grants/assignments </w:t>
      </w:r>
      <w:r w:rsidRPr="002874BD">
        <w:t xml:space="preserve">for new transmissions during Cell DTX non-active period, even if the UE is in C-DRX Active time.   FFS how to deal with any exceptions (e.g. SR if agreed and RACH).  </w:t>
      </w:r>
    </w:p>
    <w:p w14:paraId="59646C23" w14:textId="77777777" w:rsidR="009F382E" w:rsidRPr="0002317C" w:rsidRDefault="009F382E" w:rsidP="009F382E">
      <w:pPr>
        <w:pStyle w:val="Doc-text2"/>
        <w:pBdr>
          <w:top w:val="single" w:sz="4" w:space="1" w:color="auto"/>
          <w:left w:val="single" w:sz="4" w:space="4" w:color="auto"/>
          <w:bottom w:val="single" w:sz="4" w:space="1" w:color="auto"/>
          <w:right w:val="single" w:sz="4" w:space="4" w:color="auto"/>
        </w:pBdr>
        <w:ind w:leftChars="272" w:left="598" w:firstLine="0"/>
      </w:pPr>
      <w:r w:rsidRPr="002874BD">
        <w:t>FFS how to deal with retransmissions</w:t>
      </w:r>
    </w:p>
    <w:p w14:paraId="4D4FA5E6" w14:textId="77777777" w:rsidR="009F382E" w:rsidRPr="009B3BE5" w:rsidRDefault="009F382E" w:rsidP="00C639CE">
      <w:pPr>
        <w:rPr>
          <w:rFonts w:eastAsia="SimSun"/>
          <w:bCs/>
          <w:sz w:val="20"/>
          <w:lang w:val="en-US" w:eastAsia="en-GB"/>
        </w:rPr>
      </w:pPr>
    </w:p>
    <w:p w14:paraId="740DBD81" w14:textId="5681A335" w:rsidR="002305A6" w:rsidRPr="009B3BE5" w:rsidRDefault="002874BD" w:rsidP="007E2FC8">
      <w:pPr>
        <w:rPr>
          <w:szCs w:val="22"/>
          <w:lang w:eastAsia="ja-JP"/>
        </w:rPr>
      </w:pPr>
      <w:r w:rsidRPr="002874BD">
        <w:rPr>
          <w:szCs w:val="22"/>
          <w:lang w:eastAsia="ja-JP"/>
        </w:rPr>
        <w:lastRenderedPageBreak/>
        <w:t>In this contribution, we present our views on exceptional SR transmissions during Cell DRX.</w:t>
      </w:r>
    </w:p>
    <w:p w14:paraId="375CDE38" w14:textId="77777777" w:rsidR="007E2FC8" w:rsidRDefault="007E2FC8" w:rsidP="007E2FC8">
      <w:pPr>
        <w:pStyle w:val="2"/>
        <w:numPr>
          <w:ilvl w:val="0"/>
          <w:numId w:val="2"/>
        </w:numPr>
        <w:rPr>
          <w:lang w:eastAsia="ja-JP"/>
        </w:rPr>
      </w:pPr>
      <w:r>
        <w:rPr>
          <w:rFonts w:hint="eastAsia"/>
          <w:lang w:eastAsia="ja-JP"/>
        </w:rPr>
        <w:t>Discussion</w:t>
      </w:r>
    </w:p>
    <w:p w14:paraId="6A0BD485" w14:textId="7D243203" w:rsidR="003E2584" w:rsidRPr="009B3BE5" w:rsidRDefault="003E2584" w:rsidP="003E2584">
      <w:pPr>
        <w:pStyle w:val="2"/>
      </w:pPr>
      <w:r>
        <w:t>2.</w:t>
      </w:r>
      <w:r w:rsidR="00BA44A1">
        <w:t>1</w:t>
      </w:r>
      <w:r w:rsidRPr="009B3BE5">
        <w:tab/>
      </w:r>
      <w:r w:rsidR="009F382E">
        <w:t>SR transmission during the Cell DRX non-active period</w:t>
      </w:r>
    </w:p>
    <w:p w14:paraId="1CB0DA59" w14:textId="33069E96" w:rsidR="003E2584" w:rsidRDefault="003E2584" w:rsidP="009F382E">
      <w:pPr>
        <w:rPr>
          <w:lang w:eastAsia="ja-JP"/>
        </w:rPr>
      </w:pPr>
      <w:r>
        <w:rPr>
          <w:rFonts w:hint="eastAsia"/>
          <w:lang w:eastAsia="ja-JP"/>
        </w:rPr>
        <w:t xml:space="preserve"> </w:t>
      </w:r>
    </w:p>
    <w:p w14:paraId="6769B446" w14:textId="77777777" w:rsidR="009F382E" w:rsidRDefault="009F382E" w:rsidP="009F382E">
      <w:pPr>
        <w:rPr>
          <w:lang w:eastAsia="ja-JP"/>
        </w:rPr>
      </w:pPr>
      <w:r>
        <w:rPr>
          <w:rFonts w:hint="eastAsia"/>
          <w:lang w:eastAsia="ja-JP"/>
        </w:rPr>
        <w:t>I</w:t>
      </w:r>
      <w:r>
        <w:rPr>
          <w:lang w:eastAsia="ja-JP"/>
        </w:rPr>
        <w:t xml:space="preserve">n RAN2 #121-bis-e meeting, </w:t>
      </w:r>
      <w:r w:rsidRPr="009F382E">
        <w:rPr>
          <w:lang w:eastAsia="ja-JP"/>
        </w:rPr>
        <w:t>The following agreement was made based on the background of prioritizing Energy saving gains in Cell DRX.</w:t>
      </w:r>
    </w:p>
    <w:p w14:paraId="6F6D593B" w14:textId="7AB0B055" w:rsidR="009F382E" w:rsidRDefault="009F382E" w:rsidP="009F382E">
      <w:pPr>
        <w:pBdr>
          <w:top w:val="single" w:sz="4" w:space="1" w:color="auto"/>
          <w:left w:val="single" w:sz="4" w:space="0" w:color="auto"/>
          <w:bottom w:val="single" w:sz="4" w:space="1" w:color="auto"/>
          <w:right w:val="single" w:sz="4" w:space="4" w:color="auto"/>
        </w:pBdr>
        <w:ind w:leftChars="200" w:left="440"/>
      </w:pPr>
      <w:r w:rsidRPr="00FB4EBA">
        <w:t xml:space="preserve">As baseline, UE does not transmit SR occasions overlapping with Cell DRX non-active periods, e.g. SR transmissions are dropped during the non-active period </w:t>
      </w:r>
    </w:p>
    <w:p w14:paraId="3D217AFA" w14:textId="77777777" w:rsidR="009F382E" w:rsidRDefault="009F382E" w:rsidP="003E2584">
      <w:pPr>
        <w:rPr>
          <w:lang w:eastAsia="ja-JP"/>
        </w:rPr>
      </w:pPr>
    </w:p>
    <w:p w14:paraId="274F70BF" w14:textId="7D79C220" w:rsidR="009F382E" w:rsidRDefault="009F382E" w:rsidP="003E2584">
      <w:pPr>
        <w:rPr>
          <w:lang w:eastAsia="ja-JP"/>
        </w:rPr>
      </w:pPr>
      <w:r w:rsidRPr="009F382E">
        <w:rPr>
          <w:lang w:eastAsia="ja-JP"/>
        </w:rPr>
        <w:t>On the other hand, FFS remains for handling high priority traffic.</w:t>
      </w:r>
    </w:p>
    <w:p w14:paraId="5F3CC6ED" w14:textId="77777777" w:rsidR="009F382E" w:rsidRPr="0066625C" w:rsidRDefault="009F382E" w:rsidP="009F382E">
      <w:pPr>
        <w:pStyle w:val="Doc-text2"/>
        <w:pBdr>
          <w:top w:val="single" w:sz="4" w:space="1" w:color="auto"/>
          <w:left w:val="single" w:sz="4" w:space="4" w:color="auto"/>
          <w:bottom w:val="single" w:sz="4" w:space="1" w:color="auto"/>
          <w:right w:val="single" w:sz="4" w:space="4" w:color="auto"/>
        </w:pBdr>
        <w:ind w:leftChars="272" w:left="598" w:firstLine="0"/>
      </w:pPr>
      <w:r w:rsidRPr="002874BD">
        <w:t>FFS: whether we will allow to configure the UE per SR configuration with whether SR can be transmitted during Cell DRX non-active period to to support high priority traffic</w:t>
      </w:r>
      <w:r w:rsidRPr="0066625C">
        <w:t xml:space="preserve"> </w:t>
      </w:r>
    </w:p>
    <w:p w14:paraId="2F8BBF11" w14:textId="02C86FE4" w:rsidR="009F382E" w:rsidRDefault="009F382E" w:rsidP="003E2584">
      <w:pPr>
        <w:rPr>
          <w:lang w:eastAsia="ja-JP"/>
        </w:rPr>
      </w:pPr>
    </w:p>
    <w:p w14:paraId="0165ADC2" w14:textId="67F3B779" w:rsidR="009F382E" w:rsidRDefault="009F382E" w:rsidP="003E2584">
      <w:pPr>
        <w:rPr>
          <w:lang w:eastAsia="ja-JP"/>
        </w:rPr>
      </w:pPr>
      <w:r w:rsidRPr="009F382E">
        <w:rPr>
          <w:lang w:eastAsia="ja-JP"/>
        </w:rPr>
        <w:t>Like an emergency call, which is used in a sufficiently low frequency, allowing SR transmission as an exception to the above-mentioned agreement will not have much impact on the energy saving gain. On the other hand, if the exceptions are widely used, the energy saving gain will be degraded, which is contrary to the assumption of the above-mentioned agreement.</w:t>
      </w:r>
    </w:p>
    <w:p w14:paraId="7BD815EC" w14:textId="7F926277" w:rsidR="009F382E" w:rsidRPr="009F382E" w:rsidRDefault="009F382E" w:rsidP="009F382E">
      <w:pPr>
        <w:ind w:left="1555" w:hangingChars="704" w:hanging="1555"/>
        <w:rPr>
          <w:b/>
          <w:bCs/>
          <w:lang w:eastAsia="ja-JP"/>
        </w:rPr>
      </w:pPr>
      <w:r w:rsidRPr="009F382E">
        <w:rPr>
          <w:b/>
          <w:bCs/>
          <w:lang w:eastAsia="ja-JP"/>
        </w:rPr>
        <w:t>Observation 1</w:t>
      </w:r>
      <w:r>
        <w:rPr>
          <w:b/>
          <w:bCs/>
          <w:lang w:eastAsia="ja-JP"/>
        </w:rPr>
        <w:t xml:space="preserve"> </w:t>
      </w:r>
      <w:r>
        <w:rPr>
          <w:b/>
          <w:bCs/>
          <w:lang w:eastAsia="ja-JP"/>
        </w:rPr>
        <w:tab/>
      </w:r>
      <w:r w:rsidRPr="009F382E">
        <w:rPr>
          <w:b/>
          <w:bCs/>
          <w:lang w:eastAsia="ja-JP"/>
        </w:rPr>
        <w:t>SR exceptions can be established for infrequent traffic to maintain the energy saving gain.</w:t>
      </w:r>
    </w:p>
    <w:p w14:paraId="6A49B035" w14:textId="77777777" w:rsidR="009F382E" w:rsidRPr="009F382E" w:rsidRDefault="009F382E" w:rsidP="003E2584">
      <w:pPr>
        <w:rPr>
          <w:lang w:eastAsia="ja-JP"/>
        </w:rPr>
      </w:pPr>
    </w:p>
    <w:p w14:paraId="6CBF8FE2" w14:textId="77777777" w:rsidR="009F382E" w:rsidRDefault="009F382E" w:rsidP="003E2584">
      <w:pPr>
        <w:rPr>
          <w:lang w:eastAsia="ja-JP"/>
        </w:rPr>
      </w:pPr>
      <w:r w:rsidRPr="009F382E">
        <w:rPr>
          <w:lang w:eastAsia="ja-JP"/>
        </w:rPr>
        <w:t>On the other hand, if the Cell DRX non-active period is set to be short, it is expected that there is almost no impact on emergency calls. Therefore, it is sufficient to allow for emergency calls as exceptions only when a long Cell DRX non-active period is configured. Therefore, SR exception handling should be configurable for emergency calls.</w:t>
      </w:r>
    </w:p>
    <w:p w14:paraId="4DB7C257" w14:textId="435A48AC" w:rsidR="009F382E" w:rsidRPr="009F382E" w:rsidRDefault="009F382E" w:rsidP="009F382E">
      <w:pPr>
        <w:ind w:left="1557" w:hangingChars="705" w:hanging="1557"/>
        <w:rPr>
          <w:b/>
          <w:bCs/>
          <w:lang w:eastAsia="ja-JP"/>
        </w:rPr>
      </w:pPr>
      <w:r w:rsidRPr="009F382E">
        <w:rPr>
          <w:b/>
          <w:bCs/>
          <w:lang w:eastAsia="ja-JP"/>
        </w:rPr>
        <w:t>Observation 2</w:t>
      </w:r>
      <w:r>
        <w:rPr>
          <w:b/>
          <w:bCs/>
          <w:lang w:eastAsia="ja-JP"/>
        </w:rPr>
        <w:tab/>
        <w:t>I</w:t>
      </w:r>
      <w:r w:rsidRPr="009F382E">
        <w:rPr>
          <w:b/>
          <w:bCs/>
          <w:lang w:eastAsia="ja-JP"/>
        </w:rPr>
        <w:t>f the Cell DRX non-active period is set to be short, it is expected that there is almost no impact on emergency calls</w:t>
      </w:r>
    </w:p>
    <w:p w14:paraId="7957497E" w14:textId="0545C684" w:rsidR="009F382E" w:rsidRDefault="009F382E" w:rsidP="009F382E">
      <w:pPr>
        <w:ind w:left="1557" w:hangingChars="705" w:hanging="1557"/>
        <w:rPr>
          <w:lang w:eastAsia="ja-JP"/>
        </w:rPr>
      </w:pPr>
      <w:r w:rsidRPr="009F382E">
        <w:rPr>
          <w:rFonts w:hint="eastAsia"/>
          <w:b/>
          <w:bCs/>
          <w:lang w:eastAsia="ja-JP"/>
        </w:rPr>
        <w:t>P</w:t>
      </w:r>
      <w:r w:rsidRPr="009F382E">
        <w:rPr>
          <w:b/>
          <w:bCs/>
          <w:lang w:eastAsia="ja-JP"/>
        </w:rPr>
        <w:t>ropoasal 1</w:t>
      </w:r>
      <w:r>
        <w:rPr>
          <w:b/>
          <w:bCs/>
          <w:lang w:eastAsia="ja-JP"/>
        </w:rPr>
        <w:tab/>
        <w:t xml:space="preserve">RAN2 to agree that </w:t>
      </w:r>
      <w:r w:rsidRPr="009F382E">
        <w:rPr>
          <w:b/>
          <w:bCs/>
          <w:lang w:eastAsia="ja-JP"/>
        </w:rPr>
        <w:t>SR exception handling should be configurable for emergency calls.</w:t>
      </w:r>
    </w:p>
    <w:p w14:paraId="4E41ADF1" w14:textId="77777777" w:rsidR="003E2584" w:rsidRPr="00C639CE" w:rsidRDefault="003E2584" w:rsidP="002352A6">
      <w:pPr>
        <w:pStyle w:val="ObservationandProposal"/>
      </w:pPr>
    </w:p>
    <w:p w14:paraId="56E25677" w14:textId="2A2526FF" w:rsidR="007E2FC8" w:rsidRDefault="007E2FC8" w:rsidP="007A1912">
      <w:pPr>
        <w:pStyle w:val="2"/>
        <w:numPr>
          <w:ilvl w:val="0"/>
          <w:numId w:val="2"/>
        </w:numPr>
        <w:rPr>
          <w:lang w:eastAsia="ja-JP"/>
        </w:rPr>
      </w:pPr>
      <w:r>
        <w:rPr>
          <w:rFonts w:hint="eastAsia"/>
          <w:lang w:eastAsia="ja-JP"/>
        </w:rPr>
        <w:t>Summary and proposal</w:t>
      </w:r>
    </w:p>
    <w:p w14:paraId="6B5C6CFF" w14:textId="77777777" w:rsidR="009F382E" w:rsidRPr="009F382E" w:rsidRDefault="009F382E" w:rsidP="009F382E">
      <w:pPr>
        <w:ind w:left="1680" w:hanging="1680"/>
        <w:rPr>
          <w:b/>
          <w:bCs/>
          <w:lang w:eastAsia="ja-JP"/>
        </w:rPr>
      </w:pPr>
      <w:r w:rsidRPr="009F382E">
        <w:rPr>
          <w:b/>
          <w:bCs/>
          <w:lang w:eastAsia="ja-JP"/>
        </w:rPr>
        <w:t xml:space="preserve">Observation 1 </w:t>
      </w:r>
      <w:r w:rsidRPr="009F382E">
        <w:rPr>
          <w:b/>
          <w:bCs/>
          <w:lang w:eastAsia="ja-JP"/>
        </w:rPr>
        <w:tab/>
        <w:t>SR exceptions can be established for infrequent traffic to maintain the energy saving gain.</w:t>
      </w:r>
    </w:p>
    <w:p w14:paraId="038ED2B7" w14:textId="77777777" w:rsidR="009F382E" w:rsidRPr="009F382E" w:rsidRDefault="009F382E" w:rsidP="009F382E">
      <w:pPr>
        <w:ind w:left="1680" w:hanging="1680"/>
        <w:rPr>
          <w:b/>
          <w:bCs/>
          <w:lang w:eastAsia="ja-JP"/>
        </w:rPr>
      </w:pPr>
      <w:r w:rsidRPr="009F382E">
        <w:rPr>
          <w:b/>
          <w:bCs/>
          <w:lang w:eastAsia="ja-JP"/>
        </w:rPr>
        <w:t>Observation 2</w:t>
      </w:r>
      <w:r w:rsidRPr="009F382E">
        <w:rPr>
          <w:b/>
          <w:bCs/>
          <w:lang w:eastAsia="ja-JP"/>
        </w:rPr>
        <w:tab/>
        <w:t>If the Cell DRX non-active period is set to be short, it is expected that there is almost no impact on emergency calls</w:t>
      </w:r>
    </w:p>
    <w:p w14:paraId="19366D41" w14:textId="77777777" w:rsidR="009F382E" w:rsidRDefault="009F382E" w:rsidP="009F382E">
      <w:pPr>
        <w:ind w:left="1680" w:hanging="1680"/>
        <w:rPr>
          <w:lang w:eastAsia="ja-JP"/>
        </w:rPr>
      </w:pPr>
      <w:r w:rsidRPr="009F382E">
        <w:rPr>
          <w:rFonts w:hint="eastAsia"/>
          <w:b/>
          <w:bCs/>
          <w:lang w:eastAsia="ja-JP"/>
        </w:rPr>
        <w:t>P</w:t>
      </w:r>
      <w:r w:rsidRPr="009F382E">
        <w:rPr>
          <w:b/>
          <w:bCs/>
          <w:lang w:eastAsia="ja-JP"/>
        </w:rPr>
        <w:t>ropoasal 1</w:t>
      </w:r>
      <w:r w:rsidRPr="009F382E">
        <w:rPr>
          <w:b/>
          <w:bCs/>
          <w:lang w:eastAsia="ja-JP"/>
        </w:rPr>
        <w:tab/>
        <w:t>RAN2 to agree that SR exception handling should be configurable for emergency calls.</w:t>
      </w:r>
    </w:p>
    <w:p w14:paraId="6E55C466" w14:textId="77777777" w:rsidR="009F382E" w:rsidRPr="009F382E" w:rsidRDefault="009F382E" w:rsidP="009F382E">
      <w:pPr>
        <w:rPr>
          <w:lang w:eastAsia="ja-JP"/>
        </w:rPr>
      </w:pPr>
    </w:p>
    <w:p w14:paraId="19CDB79A" w14:textId="77777777" w:rsidR="007E2FC8" w:rsidRPr="00863065" w:rsidRDefault="007E2FC8" w:rsidP="007A1912">
      <w:pPr>
        <w:pStyle w:val="2"/>
        <w:numPr>
          <w:ilvl w:val="0"/>
          <w:numId w:val="2"/>
        </w:numPr>
        <w:rPr>
          <w:rFonts w:cs="Arial"/>
          <w:lang w:eastAsia="ja-JP"/>
        </w:rPr>
      </w:pPr>
      <w:r w:rsidRPr="00863065">
        <w:rPr>
          <w:rFonts w:cs="Arial"/>
          <w:lang w:eastAsia="ja-JP"/>
        </w:rPr>
        <w:lastRenderedPageBreak/>
        <w:t>Reference</w:t>
      </w:r>
      <w:r>
        <w:rPr>
          <w:rFonts w:cs="Arial" w:hint="eastAsia"/>
          <w:lang w:eastAsia="ja-JP"/>
        </w:rPr>
        <w:t>s</w:t>
      </w:r>
    </w:p>
    <w:p w14:paraId="78780D21" w14:textId="65107907" w:rsidR="007D6859" w:rsidRDefault="00C639CE" w:rsidP="00C639CE">
      <w:pPr>
        <w:rPr>
          <w:bCs/>
          <w:szCs w:val="18"/>
        </w:rPr>
      </w:pPr>
      <w:r w:rsidRPr="00C639CE">
        <w:rPr>
          <w:bCs/>
          <w:szCs w:val="18"/>
        </w:rPr>
        <w:t>[1]</w:t>
      </w:r>
      <w:r w:rsidRPr="00C639CE">
        <w:rPr>
          <w:bCs/>
          <w:szCs w:val="18"/>
        </w:rPr>
        <w:tab/>
        <w:t>RP-223540 - WID Network energy savings for NR</w:t>
      </w:r>
    </w:p>
    <w:p w14:paraId="43FFF4A2" w14:textId="4A4A08DE" w:rsidR="002874BD" w:rsidRPr="00262F8E" w:rsidRDefault="002874BD" w:rsidP="00C639CE">
      <w:pPr>
        <w:rPr>
          <w:szCs w:val="22"/>
          <w:lang w:eastAsia="ja-JP"/>
        </w:rPr>
      </w:pPr>
    </w:p>
    <w:sectPr w:rsidR="002874BD" w:rsidRPr="00262F8E">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33D49" w14:textId="77777777" w:rsidR="000A14C2" w:rsidRDefault="000A14C2" w:rsidP="007E2FC8">
      <w:pPr>
        <w:spacing w:after="0"/>
      </w:pPr>
      <w:r>
        <w:separator/>
      </w:r>
    </w:p>
  </w:endnote>
  <w:endnote w:type="continuationSeparator" w:id="0">
    <w:p w14:paraId="690C1707" w14:textId="77777777" w:rsidR="000A14C2" w:rsidRDefault="000A14C2" w:rsidP="007E2F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6A2E8"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376BC4" w:rsidRDefault="0000000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3D9CF"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4427B0AB" w14:textId="77777777" w:rsidR="00376BC4" w:rsidRDefault="0000000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D99FC" w14:textId="77777777" w:rsidR="000A14C2" w:rsidRDefault="000A14C2" w:rsidP="007E2FC8">
      <w:pPr>
        <w:spacing w:after="0"/>
      </w:pPr>
      <w:r>
        <w:separator/>
      </w:r>
    </w:p>
  </w:footnote>
  <w:footnote w:type="continuationSeparator" w:id="0">
    <w:p w14:paraId="3321D704" w14:textId="77777777" w:rsidR="000A14C2" w:rsidRDefault="000A14C2" w:rsidP="007E2F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0B12" w14:textId="77777777" w:rsidR="00376BC4" w:rsidRDefault="00000000">
    <w:pPr>
      <w:pStyle w:val="a3"/>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B057C"/>
    <w:multiLevelType w:val="multilevel"/>
    <w:tmpl w:val="0CDCA3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D73CD8"/>
    <w:multiLevelType w:val="multilevel"/>
    <w:tmpl w:val="CC1E4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F874D1"/>
    <w:multiLevelType w:val="hybridMultilevel"/>
    <w:tmpl w:val="05865104"/>
    <w:lvl w:ilvl="0" w:tplc="844CCAF8">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090B2E14"/>
    <w:multiLevelType w:val="multilevel"/>
    <w:tmpl w:val="C2188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1C6E3C"/>
    <w:multiLevelType w:val="multilevel"/>
    <w:tmpl w:val="9EBC3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1B7705"/>
    <w:multiLevelType w:val="hybridMultilevel"/>
    <w:tmpl w:val="783AE964"/>
    <w:lvl w:ilvl="0" w:tplc="64941A98">
      <w:start w:val="1"/>
      <w:numFmt w:val="lowerRoman"/>
      <w:lvlText w:val="%1)"/>
      <w:lvlJc w:val="left"/>
      <w:pPr>
        <w:ind w:left="960"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7" w15:restartNumberingAfterBreak="0">
    <w:nsid w:val="20A17F1B"/>
    <w:multiLevelType w:val="hybridMultilevel"/>
    <w:tmpl w:val="F5A2DBC2"/>
    <w:lvl w:ilvl="0" w:tplc="971CB752">
      <w:start w:val="4"/>
      <w:numFmt w:val="decimal"/>
      <w:lvlText w:val="%1."/>
      <w:lvlJc w:val="left"/>
      <w:pPr>
        <w:ind w:left="1260" w:hanging="42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8" w15:restartNumberingAfterBreak="0">
    <w:nsid w:val="256C5552"/>
    <w:multiLevelType w:val="multilevel"/>
    <w:tmpl w:val="06900CB2"/>
    <w:lvl w:ilvl="0">
      <w:start w:val="2"/>
      <w:numFmt w:val="decimal"/>
      <w:lvlText w:val="%1"/>
      <w:lvlJc w:val="left"/>
      <w:pPr>
        <w:ind w:left="1130" w:hanging="1130"/>
      </w:pPr>
      <w:rPr>
        <w:rFonts w:ascii="Times New Roman" w:hAnsi="Times New Roman" w:cs="Times New Roman" w:hint="default"/>
        <w:color w:val="000000" w:themeColor="text1"/>
        <w:sz w:val="20"/>
      </w:rPr>
    </w:lvl>
    <w:lvl w:ilvl="1">
      <w:start w:val="3"/>
      <w:numFmt w:val="decimal"/>
      <w:lvlText w:val="%1.%2"/>
      <w:lvlJc w:val="left"/>
      <w:pPr>
        <w:ind w:left="1130" w:hanging="1130"/>
      </w:pPr>
      <w:rPr>
        <w:rFonts w:ascii="Times New Roman" w:hAnsi="Times New Roman" w:cs="Times New Roman" w:hint="default"/>
        <w:color w:val="000000" w:themeColor="text1"/>
        <w:sz w:val="20"/>
      </w:rPr>
    </w:lvl>
    <w:lvl w:ilvl="2">
      <w:start w:val="1"/>
      <w:numFmt w:val="decimal"/>
      <w:lvlText w:val="%1.%2.%3"/>
      <w:lvlJc w:val="left"/>
      <w:pPr>
        <w:ind w:left="1130" w:hanging="1130"/>
      </w:pPr>
      <w:rPr>
        <w:rFonts w:ascii="Times New Roman" w:hAnsi="Times New Roman" w:cs="Times New Roman" w:hint="default"/>
        <w:color w:val="000000" w:themeColor="text1"/>
        <w:sz w:val="20"/>
      </w:rPr>
    </w:lvl>
    <w:lvl w:ilvl="3">
      <w:start w:val="1"/>
      <w:numFmt w:val="decimal"/>
      <w:lvlText w:val="%1.%2.%3.%4"/>
      <w:lvlJc w:val="left"/>
      <w:pPr>
        <w:ind w:left="1130" w:hanging="1130"/>
      </w:pPr>
      <w:rPr>
        <w:rFonts w:ascii="Times New Roman" w:hAnsi="Times New Roman" w:cs="Times New Roman" w:hint="default"/>
        <w:color w:val="000000" w:themeColor="text1"/>
        <w:sz w:val="20"/>
      </w:rPr>
    </w:lvl>
    <w:lvl w:ilvl="4">
      <w:start w:val="1"/>
      <w:numFmt w:val="decimal"/>
      <w:lvlText w:val="%1.%2.%3.%4.%5"/>
      <w:lvlJc w:val="left"/>
      <w:pPr>
        <w:ind w:left="1130" w:hanging="1130"/>
      </w:pPr>
      <w:rPr>
        <w:rFonts w:ascii="Times New Roman" w:hAnsi="Times New Roman" w:cs="Times New Roman" w:hint="default"/>
        <w:color w:val="000000" w:themeColor="text1"/>
        <w:sz w:val="20"/>
      </w:rPr>
    </w:lvl>
    <w:lvl w:ilvl="5">
      <w:start w:val="1"/>
      <w:numFmt w:val="decimal"/>
      <w:lvlText w:val="%1.%2.%3.%4.%5.%6"/>
      <w:lvlJc w:val="left"/>
      <w:pPr>
        <w:ind w:left="1130" w:hanging="1130"/>
      </w:pPr>
      <w:rPr>
        <w:rFonts w:ascii="Times New Roman" w:hAnsi="Times New Roman" w:cs="Times New Roman" w:hint="default"/>
        <w:color w:val="000000" w:themeColor="text1"/>
        <w:sz w:val="20"/>
      </w:rPr>
    </w:lvl>
    <w:lvl w:ilvl="6">
      <w:start w:val="1"/>
      <w:numFmt w:val="decimal"/>
      <w:lvlText w:val="%1.%2.%3.%4.%5.%6.%7"/>
      <w:lvlJc w:val="left"/>
      <w:pPr>
        <w:ind w:left="1130" w:hanging="1130"/>
      </w:pPr>
      <w:rPr>
        <w:rFonts w:ascii="Times New Roman" w:hAnsi="Times New Roman" w:cs="Times New Roman" w:hint="default"/>
        <w:color w:val="000000" w:themeColor="text1"/>
        <w:sz w:val="20"/>
      </w:rPr>
    </w:lvl>
    <w:lvl w:ilvl="7">
      <w:start w:val="1"/>
      <w:numFmt w:val="decimal"/>
      <w:lvlText w:val="%1.%2.%3.%4.%5.%6.%7.%8"/>
      <w:lvlJc w:val="left"/>
      <w:pPr>
        <w:ind w:left="1440" w:hanging="1440"/>
      </w:pPr>
      <w:rPr>
        <w:rFonts w:ascii="Times New Roman" w:hAnsi="Times New Roman" w:cs="Times New Roman" w:hint="default"/>
        <w:color w:val="000000" w:themeColor="text1"/>
        <w:sz w:val="20"/>
      </w:rPr>
    </w:lvl>
    <w:lvl w:ilvl="8">
      <w:start w:val="1"/>
      <w:numFmt w:val="decimal"/>
      <w:lvlText w:val="%1.%2.%3.%4.%5.%6.%7.%8.%9"/>
      <w:lvlJc w:val="left"/>
      <w:pPr>
        <w:ind w:left="1440" w:hanging="1440"/>
      </w:pPr>
      <w:rPr>
        <w:rFonts w:ascii="Times New Roman" w:hAnsi="Times New Roman" w:cs="Times New Roman" w:hint="default"/>
        <w:color w:val="000000" w:themeColor="text1"/>
        <w:sz w:val="20"/>
      </w:rPr>
    </w:lvl>
  </w:abstractNum>
  <w:abstractNum w:abstractNumId="9" w15:restartNumberingAfterBreak="0">
    <w:nsid w:val="29FD06E5"/>
    <w:multiLevelType w:val="hybridMultilevel"/>
    <w:tmpl w:val="A8CC2988"/>
    <w:lvl w:ilvl="0" w:tplc="D1343DE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E484EE6"/>
    <w:multiLevelType w:val="multilevel"/>
    <w:tmpl w:val="4BA67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6260BC4"/>
    <w:multiLevelType w:val="hybridMultilevel"/>
    <w:tmpl w:val="14F2F3E8"/>
    <w:lvl w:ilvl="0" w:tplc="0B228B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75B4DC4"/>
    <w:multiLevelType w:val="multilevel"/>
    <w:tmpl w:val="54967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85E3066"/>
    <w:multiLevelType w:val="hybridMultilevel"/>
    <w:tmpl w:val="16EEFAC8"/>
    <w:lvl w:ilvl="0" w:tplc="0B228B1E">
      <w:start w:val="1"/>
      <w:numFmt w:val="bullet"/>
      <w:lvlText w:val=""/>
      <w:lvlJc w:val="left"/>
      <w:pPr>
        <w:ind w:left="420" w:hanging="420"/>
      </w:pPr>
      <w:rPr>
        <w:rFonts w:ascii="Wingdings" w:hAnsi="Wingdings" w:hint="default"/>
      </w:rPr>
    </w:lvl>
    <w:lvl w:ilvl="1" w:tplc="0B228B1E">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AD637F"/>
    <w:multiLevelType w:val="hybridMultilevel"/>
    <w:tmpl w:val="7D4891FA"/>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55328EB"/>
    <w:multiLevelType w:val="multilevel"/>
    <w:tmpl w:val="D3E6DC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57D5802"/>
    <w:multiLevelType w:val="multilevel"/>
    <w:tmpl w:val="27F2B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97E0F5F"/>
    <w:multiLevelType w:val="multilevel"/>
    <w:tmpl w:val="B054F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1D5716F"/>
    <w:multiLevelType w:val="multilevel"/>
    <w:tmpl w:val="12442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22A26BB"/>
    <w:multiLevelType w:val="hybridMultilevel"/>
    <w:tmpl w:val="6220BB7E"/>
    <w:lvl w:ilvl="0" w:tplc="FFFFFFFF">
      <w:start w:val="1"/>
      <w:numFmt w:val="bullet"/>
      <w:lvlText w:val=""/>
      <w:lvlJc w:val="left"/>
      <w:pPr>
        <w:ind w:left="420" w:hanging="420"/>
      </w:pPr>
      <w:rPr>
        <w:rFonts w:ascii="Wingdings" w:hAnsi="Wingdings" w:hint="default"/>
      </w:rPr>
    </w:lvl>
    <w:lvl w:ilvl="1" w:tplc="FC2E0A64">
      <w:start w:val="2"/>
      <w:numFmt w:val="bullet"/>
      <w:lvlText w:val="-"/>
      <w:lvlJc w:val="left"/>
      <w:pPr>
        <w:ind w:left="840" w:hanging="420"/>
      </w:pPr>
      <w:rPr>
        <w:rFonts w:ascii="Times New Roman" w:eastAsia="ＭＳ 明朝"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6A1C03D5"/>
    <w:multiLevelType w:val="hybridMultilevel"/>
    <w:tmpl w:val="66DA2290"/>
    <w:lvl w:ilvl="0" w:tplc="0409000F">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7" w15:restartNumberingAfterBreak="0">
    <w:nsid w:val="6D0F203A"/>
    <w:multiLevelType w:val="hybridMultilevel"/>
    <w:tmpl w:val="CDF498EE"/>
    <w:lvl w:ilvl="0" w:tplc="08090001">
      <w:start w:val="1"/>
      <w:numFmt w:val="bullet"/>
      <w:lvlText w:val=""/>
      <w:lvlJc w:val="left"/>
      <w:pPr>
        <w:ind w:left="-1049" w:hanging="420"/>
      </w:pPr>
      <w:rPr>
        <w:rFonts w:ascii="Symbol" w:hAnsi="Symbol" w:hint="default"/>
      </w:rPr>
    </w:lvl>
    <w:lvl w:ilvl="1" w:tplc="041D0003">
      <w:start w:val="1"/>
      <w:numFmt w:val="bullet"/>
      <w:lvlText w:val="o"/>
      <w:lvlJc w:val="left"/>
      <w:pPr>
        <w:ind w:left="-629" w:hanging="420"/>
      </w:pPr>
      <w:rPr>
        <w:rFonts w:ascii="Courier New" w:hAnsi="Courier New" w:cs="Courier New" w:hint="default"/>
      </w:rPr>
    </w:lvl>
    <w:lvl w:ilvl="2" w:tplc="041D0005">
      <w:start w:val="1"/>
      <w:numFmt w:val="bullet"/>
      <w:lvlText w:val=""/>
      <w:lvlJc w:val="left"/>
      <w:pPr>
        <w:ind w:left="-209" w:hanging="420"/>
      </w:pPr>
      <w:rPr>
        <w:rFonts w:ascii="Wingdings" w:hAnsi="Wingdings" w:hint="default"/>
      </w:rPr>
    </w:lvl>
    <w:lvl w:ilvl="3" w:tplc="04090001">
      <w:start w:val="1"/>
      <w:numFmt w:val="bullet"/>
      <w:lvlText w:val=""/>
      <w:lvlJc w:val="left"/>
      <w:pPr>
        <w:ind w:left="211" w:hanging="420"/>
      </w:pPr>
      <w:rPr>
        <w:rFonts w:ascii="Wingdings" w:hAnsi="Wingdings" w:hint="default"/>
      </w:rPr>
    </w:lvl>
    <w:lvl w:ilvl="4" w:tplc="04090003">
      <w:start w:val="1"/>
      <w:numFmt w:val="bullet"/>
      <w:lvlText w:val=""/>
      <w:lvlJc w:val="left"/>
      <w:pPr>
        <w:ind w:left="631" w:hanging="420"/>
      </w:pPr>
      <w:rPr>
        <w:rFonts w:ascii="Wingdings" w:hAnsi="Wingdings" w:hint="default"/>
      </w:rPr>
    </w:lvl>
    <w:lvl w:ilvl="5" w:tplc="04090005">
      <w:start w:val="1"/>
      <w:numFmt w:val="bullet"/>
      <w:lvlText w:val=""/>
      <w:lvlJc w:val="left"/>
      <w:pPr>
        <w:ind w:left="1051" w:hanging="420"/>
      </w:pPr>
      <w:rPr>
        <w:rFonts w:ascii="Wingdings" w:hAnsi="Wingdings" w:hint="default"/>
      </w:rPr>
    </w:lvl>
    <w:lvl w:ilvl="6" w:tplc="04090001">
      <w:start w:val="1"/>
      <w:numFmt w:val="bullet"/>
      <w:lvlText w:val=""/>
      <w:lvlJc w:val="left"/>
      <w:pPr>
        <w:ind w:left="1471" w:hanging="420"/>
      </w:pPr>
      <w:rPr>
        <w:rFonts w:ascii="Wingdings" w:hAnsi="Wingdings" w:hint="default"/>
      </w:rPr>
    </w:lvl>
    <w:lvl w:ilvl="7" w:tplc="04090003">
      <w:start w:val="1"/>
      <w:numFmt w:val="bullet"/>
      <w:lvlText w:val=""/>
      <w:lvlJc w:val="left"/>
      <w:pPr>
        <w:ind w:left="1891" w:hanging="420"/>
      </w:pPr>
      <w:rPr>
        <w:rFonts w:ascii="Wingdings" w:hAnsi="Wingdings" w:hint="default"/>
      </w:rPr>
    </w:lvl>
    <w:lvl w:ilvl="8" w:tplc="04090005">
      <w:start w:val="1"/>
      <w:numFmt w:val="bullet"/>
      <w:lvlText w:val=""/>
      <w:lvlJc w:val="left"/>
      <w:pPr>
        <w:ind w:left="2311" w:hanging="42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9" w15:restartNumberingAfterBreak="0">
    <w:nsid w:val="70F660EB"/>
    <w:multiLevelType w:val="multilevel"/>
    <w:tmpl w:val="A78AD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1" w15:restartNumberingAfterBreak="0">
    <w:nsid w:val="72295139"/>
    <w:multiLevelType w:val="hybridMultilevel"/>
    <w:tmpl w:val="3AD44F9C"/>
    <w:lvl w:ilvl="0" w:tplc="CDDAD6B4">
      <w:start w:val="8"/>
      <w:numFmt w:val="decimal"/>
      <w:lvlText w:val="%1."/>
      <w:lvlJc w:val="left"/>
      <w:pPr>
        <w:ind w:left="958" w:hanging="360"/>
      </w:pPr>
      <w:rPr>
        <w:rFonts w:hint="default"/>
      </w:rPr>
    </w:lvl>
    <w:lvl w:ilvl="1" w:tplc="FFFFFFFF" w:tentative="1">
      <w:start w:val="1"/>
      <w:numFmt w:val="lowerLetter"/>
      <w:lvlText w:val="%2."/>
      <w:lvlJc w:val="left"/>
      <w:pPr>
        <w:ind w:left="1678" w:hanging="360"/>
      </w:pPr>
    </w:lvl>
    <w:lvl w:ilvl="2" w:tplc="FFFFFFFF" w:tentative="1">
      <w:start w:val="1"/>
      <w:numFmt w:val="lowerRoman"/>
      <w:lvlText w:val="%3."/>
      <w:lvlJc w:val="right"/>
      <w:pPr>
        <w:ind w:left="2398" w:hanging="180"/>
      </w:pPr>
    </w:lvl>
    <w:lvl w:ilvl="3" w:tplc="FFFFFFFF" w:tentative="1">
      <w:start w:val="1"/>
      <w:numFmt w:val="decimal"/>
      <w:lvlText w:val="%4."/>
      <w:lvlJc w:val="left"/>
      <w:pPr>
        <w:ind w:left="3118" w:hanging="360"/>
      </w:pPr>
    </w:lvl>
    <w:lvl w:ilvl="4" w:tplc="FFFFFFFF" w:tentative="1">
      <w:start w:val="1"/>
      <w:numFmt w:val="lowerLetter"/>
      <w:lvlText w:val="%5."/>
      <w:lvlJc w:val="left"/>
      <w:pPr>
        <w:ind w:left="3838" w:hanging="360"/>
      </w:pPr>
    </w:lvl>
    <w:lvl w:ilvl="5" w:tplc="FFFFFFFF" w:tentative="1">
      <w:start w:val="1"/>
      <w:numFmt w:val="lowerRoman"/>
      <w:lvlText w:val="%6."/>
      <w:lvlJc w:val="right"/>
      <w:pPr>
        <w:ind w:left="4558" w:hanging="180"/>
      </w:pPr>
    </w:lvl>
    <w:lvl w:ilvl="6" w:tplc="FFFFFFFF" w:tentative="1">
      <w:start w:val="1"/>
      <w:numFmt w:val="decimal"/>
      <w:lvlText w:val="%7."/>
      <w:lvlJc w:val="left"/>
      <w:pPr>
        <w:ind w:left="5278" w:hanging="360"/>
      </w:pPr>
    </w:lvl>
    <w:lvl w:ilvl="7" w:tplc="FFFFFFFF" w:tentative="1">
      <w:start w:val="1"/>
      <w:numFmt w:val="lowerLetter"/>
      <w:lvlText w:val="%8."/>
      <w:lvlJc w:val="left"/>
      <w:pPr>
        <w:ind w:left="5998" w:hanging="360"/>
      </w:pPr>
    </w:lvl>
    <w:lvl w:ilvl="8" w:tplc="FFFFFFFF" w:tentative="1">
      <w:start w:val="1"/>
      <w:numFmt w:val="lowerRoman"/>
      <w:lvlText w:val="%9."/>
      <w:lvlJc w:val="right"/>
      <w:pPr>
        <w:ind w:left="6718" w:hanging="180"/>
      </w:pPr>
    </w:lvl>
  </w:abstractNum>
  <w:abstractNum w:abstractNumId="32"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4" w15:restartNumberingAfterBreak="0">
    <w:nsid w:val="7DF03F1F"/>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num w:numId="1" w16cid:durableId="1308558122">
    <w:abstractNumId w:val="30"/>
  </w:num>
  <w:num w:numId="2" w16cid:durableId="895511516">
    <w:abstractNumId w:val="26"/>
  </w:num>
  <w:num w:numId="3" w16cid:durableId="1647855571">
    <w:abstractNumId w:val="28"/>
  </w:num>
  <w:num w:numId="4" w16cid:durableId="2085176627">
    <w:abstractNumId w:val="16"/>
  </w:num>
  <w:num w:numId="5" w16cid:durableId="939949642">
    <w:abstractNumId w:val="0"/>
  </w:num>
  <w:num w:numId="6" w16cid:durableId="559634552">
    <w:abstractNumId w:val="15"/>
  </w:num>
  <w:num w:numId="7" w16cid:durableId="719593193">
    <w:abstractNumId w:val="29"/>
  </w:num>
  <w:num w:numId="8" w16cid:durableId="453333199">
    <w:abstractNumId w:val="19"/>
  </w:num>
  <w:num w:numId="9" w16cid:durableId="1486819577">
    <w:abstractNumId w:val="13"/>
  </w:num>
  <w:num w:numId="10" w16cid:durableId="1596472540">
    <w:abstractNumId w:val="4"/>
  </w:num>
  <w:num w:numId="11" w16cid:durableId="1346636538">
    <w:abstractNumId w:val="10"/>
  </w:num>
  <w:num w:numId="12" w16cid:durableId="808674292">
    <w:abstractNumId w:val="25"/>
  </w:num>
  <w:num w:numId="13" w16cid:durableId="1692759589">
    <w:abstractNumId w:val="1"/>
  </w:num>
  <w:num w:numId="14" w16cid:durableId="880171971">
    <w:abstractNumId w:val="22"/>
  </w:num>
  <w:num w:numId="15" w16cid:durableId="607394869">
    <w:abstractNumId w:val="18"/>
  </w:num>
  <w:num w:numId="16" w16cid:durableId="1301425580">
    <w:abstractNumId w:val="5"/>
  </w:num>
  <w:num w:numId="17" w16cid:durableId="684402807">
    <w:abstractNumId w:val="17"/>
  </w:num>
  <w:num w:numId="18" w16cid:durableId="1163546247">
    <w:abstractNumId w:val="34"/>
  </w:num>
  <w:num w:numId="19" w16cid:durableId="688020558">
    <w:abstractNumId w:val="20"/>
  </w:num>
  <w:num w:numId="20" w16cid:durableId="1896354333">
    <w:abstractNumId w:val="32"/>
  </w:num>
  <w:num w:numId="21" w16cid:durableId="277030858">
    <w:abstractNumId w:val="11"/>
  </w:num>
  <w:num w:numId="22" w16cid:durableId="264580305">
    <w:abstractNumId w:val="33"/>
  </w:num>
  <w:num w:numId="23" w16cid:durableId="845746589">
    <w:abstractNumId w:val="12"/>
  </w:num>
  <w:num w:numId="24" w16cid:durableId="1612275730">
    <w:abstractNumId w:val="14"/>
  </w:num>
  <w:num w:numId="25" w16cid:durableId="1615139826">
    <w:abstractNumId w:val="23"/>
  </w:num>
  <w:num w:numId="26" w16cid:durableId="703600188">
    <w:abstractNumId w:val="28"/>
  </w:num>
  <w:num w:numId="27" w16cid:durableId="1941792379">
    <w:abstractNumId w:val="2"/>
  </w:num>
  <w:num w:numId="28" w16cid:durableId="2003268527">
    <w:abstractNumId w:val="7"/>
  </w:num>
  <w:num w:numId="29" w16cid:durableId="1456945520">
    <w:abstractNumId w:val="6"/>
  </w:num>
  <w:num w:numId="30" w16cid:durableId="1854029982">
    <w:abstractNumId w:val="24"/>
    <w:lvlOverride w:ilvl="0">
      <w:startOverride w:val="1"/>
    </w:lvlOverride>
    <w:lvlOverride w:ilvl="1"/>
    <w:lvlOverride w:ilvl="2"/>
    <w:lvlOverride w:ilvl="3"/>
    <w:lvlOverride w:ilvl="4"/>
    <w:lvlOverride w:ilvl="5"/>
    <w:lvlOverride w:ilvl="6"/>
    <w:lvlOverride w:ilvl="7"/>
    <w:lvlOverride w:ilvl="8"/>
  </w:num>
  <w:num w:numId="31" w16cid:durableId="1420062387">
    <w:abstractNumId w:val="27"/>
  </w:num>
  <w:num w:numId="32" w16cid:durableId="521166954">
    <w:abstractNumId w:val="27"/>
  </w:num>
  <w:num w:numId="33" w16cid:durableId="140999797">
    <w:abstractNumId w:val="3"/>
  </w:num>
  <w:num w:numId="34" w16cid:durableId="416248088">
    <w:abstractNumId w:val="8"/>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59967307">
    <w:abstractNumId w:val="9"/>
  </w:num>
  <w:num w:numId="36" w16cid:durableId="1219827482">
    <w:abstractNumId w:val="21"/>
  </w:num>
  <w:num w:numId="37" w16cid:durableId="123813126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11E4E"/>
    <w:rsid w:val="00020874"/>
    <w:rsid w:val="00034D94"/>
    <w:rsid w:val="00087D8D"/>
    <w:rsid w:val="00093464"/>
    <w:rsid w:val="000A14C2"/>
    <w:rsid w:val="000A2EDD"/>
    <w:rsid w:val="000B6FF6"/>
    <w:rsid w:val="000C6A39"/>
    <w:rsid w:val="000E784B"/>
    <w:rsid w:val="000F1FE0"/>
    <w:rsid w:val="000F2C95"/>
    <w:rsid w:val="00100FA5"/>
    <w:rsid w:val="0010116C"/>
    <w:rsid w:val="0015091B"/>
    <w:rsid w:val="00172DB3"/>
    <w:rsid w:val="00176B21"/>
    <w:rsid w:val="001869BA"/>
    <w:rsid w:val="001C72AD"/>
    <w:rsid w:val="001C74C8"/>
    <w:rsid w:val="001F729A"/>
    <w:rsid w:val="00216F83"/>
    <w:rsid w:val="00226034"/>
    <w:rsid w:val="002305A6"/>
    <w:rsid w:val="002352A6"/>
    <w:rsid w:val="00262F8E"/>
    <w:rsid w:val="00270489"/>
    <w:rsid w:val="002874BD"/>
    <w:rsid w:val="002A2FF9"/>
    <w:rsid w:val="002B2098"/>
    <w:rsid w:val="002B674A"/>
    <w:rsid w:val="003569A8"/>
    <w:rsid w:val="00380F95"/>
    <w:rsid w:val="00394398"/>
    <w:rsid w:val="003E2584"/>
    <w:rsid w:val="00400FD3"/>
    <w:rsid w:val="00487E5D"/>
    <w:rsid w:val="00492644"/>
    <w:rsid w:val="00493F9E"/>
    <w:rsid w:val="004A1E6E"/>
    <w:rsid w:val="004C419F"/>
    <w:rsid w:val="004D1B48"/>
    <w:rsid w:val="004E6B03"/>
    <w:rsid w:val="004F6390"/>
    <w:rsid w:val="00537958"/>
    <w:rsid w:val="00541C01"/>
    <w:rsid w:val="00564517"/>
    <w:rsid w:val="005C7784"/>
    <w:rsid w:val="005F1EB4"/>
    <w:rsid w:val="005F73C8"/>
    <w:rsid w:val="006058A0"/>
    <w:rsid w:val="00622539"/>
    <w:rsid w:val="006456CA"/>
    <w:rsid w:val="00661C29"/>
    <w:rsid w:val="00665154"/>
    <w:rsid w:val="00666BDD"/>
    <w:rsid w:val="00675E18"/>
    <w:rsid w:val="00694325"/>
    <w:rsid w:val="006D275E"/>
    <w:rsid w:val="007146AD"/>
    <w:rsid w:val="00752710"/>
    <w:rsid w:val="00761332"/>
    <w:rsid w:val="007A1912"/>
    <w:rsid w:val="007D6859"/>
    <w:rsid w:val="007E2FC8"/>
    <w:rsid w:val="007E68CE"/>
    <w:rsid w:val="0083168F"/>
    <w:rsid w:val="0084658A"/>
    <w:rsid w:val="008472A3"/>
    <w:rsid w:val="00864C41"/>
    <w:rsid w:val="00871B8A"/>
    <w:rsid w:val="00896DC7"/>
    <w:rsid w:val="008A38C3"/>
    <w:rsid w:val="008B4D0A"/>
    <w:rsid w:val="008C2B7D"/>
    <w:rsid w:val="008C2D47"/>
    <w:rsid w:val="008E5A66"/>
    <w:rsid w:val="008F71F1"/>
    <w:rsid w:val="0092515C"/>
    <w:rsid w:val="00945699"/>
    <w:rsid w:val="0094719A"/>
    <w:rsid w:val="00972AB4"/>
    <w:rsid w:val="00972B2F"/>
    <w:rsid w:val="0099473F"/>
    <w:rsid w:val="009B1F20"/>
    <w:rsid w:val="009B3BE5"/>
    <w:rsid w:val="009F382E"/>
    <w:rsid w:val="00A15C0C"/>
    <w:rsid w:val="00A1702E"/>
    <w:rsid w:val="00A37E5C"/>
    <w:rsid w:val="00A52A8C"/>
    <w:rsid w:val="00AD6F92"/>
    <w:rsid w:val="00AE3024"/>
    <w:rsid w:val="00B03D23"/>
    <w:rsid w:val="00B06397"/>
    <w:rsid w:val="00B07552"/>
    <w:rsid w:val="00B36604"/>
    <w:rsid w:val="00B36B37"/>
    <w:rsid w:val="00B70AB1"/>
    <w:rsid w:val="00B9705C"/>
    <w:rsid w:val="00BA44A1"/>
    <w:rsid w:val="00BB72E9"/>
    <w:rsid w:val="00BF04FB"/>
    <w:rsid w:val="00C163E2"/>
    <w:rsid w:val="00C4690F"/>
    <w:rsid w:val="00C479BA"/>
    <w:rsid w:val="00C639CE"/>
    <w:rsid w:val="00C93B43"/>
    <w:rsid w:val="00C97CFC"/>
    <w:rsid w:val="00D733A4"/>
    <w:rsid w:val="00D769F6"/>
    <w:rsid w:val="00D94041"/>
    <w:rsid w:val="00D959DC"/>
    <w:rsid w:val="00DB76B3"/>
    <w:rsid w:val="00DC2A95"/>
    <w:rsid w:val="00E06E4B"/>
    <w:rsid w:val="00E202C2"/>
    <w:rsid w:val="00E87BC2"/>
    <w:rsid w:val="00F33754"/>
    <w:rsid w:val="00F4104B"/>
    <w:rsid w:val="00F5252D"/>
    <w:rsid w:val="00FD2D84"/>
    <w:rsid w:val="00FF59AE"/>
    <w:rsid w:val="00FF62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44A1"/>
    <w:pPr>
      <w:spacing w:after="180"/>
    </w:pPr>
    <w:rPr>
      <w:rFonts w:ascii="Times New Roman" w:eastAsia="ＭＳ 明朝" w:hAnsi="Times New Roman" w:cs="Times New Roman"/>
      <w:kern w:val="0"/>
      <w:sz w:val="22"/>
      <w:szCs w:val="20"/>
      <w:lang w:val="en-GB" w:eastAsia="en-US"/>
    </w:r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qFormat/>
    <w:rsid w:val="007E2FC8"/>
    <w:pPr>
      <w:keepLines/>
      <w:spacing w:before="180"/>
      <w:ind w:left="1134" w:hanging="1134"/>
      <w:outlineLvl w:val="1"/>
    </w:pPr>
    <w:rPr>
      <w:rFonts w:ascii="Arial" w:eastAsia="ＭＳ 明朝" w:hAnsi="Arial" w:cs="Times New Roman"/>
      <w:sz w:val="32"/>
      <w:szCs w:val="20"/>
    </w:rPr>
  </w:style>
  <w:style w:type="paragraph" w:styleId="3">
    <w:name w:val="heading 3"/>
    <w:basedOn w:val="a"/>
    <w:next w:val="a"/>
    <w:link w:val="30"/>
    <w:uiPriority w:val="9"/>
    <w:semiHidden/>
    <w:unhideWhenUsed/>
    <w:qFormat/>
    <w:rsid w:val="00694325"/>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qFormat/>
    <w:rsid w:val="007E2FC8"/>
    <w:pPr>
      <w:keepNext/>
      <w:keepLines/>
      <w:spacing w:after="0"/>
      <w:jc w:val="center"/>
    </w:pPr>
    <w:rPr>
      <w:rFonts w:ascii="Arial" w:hAnsi="Arial"/>
      <w:b/>
      <w:sz w:val="18"/>
    </w:rPr>
  </w:style>
  <w:style w:type="paragraph" w:customStyle="1" w:styleId="TAL">
    <w:name w:val="TAL"/>
    <w:basedOn w:val="a"/>
    <w:link w:val="TALCar"/>
    <w:qFormat/>
    <w:rsid w:val="007E2FC8"/>
    <w:pPr>
      <w:keepNext/>
      <w:keepLines/>
      <w:spacing w:after="0"/>
    </w:pPr>
    <w:rPr>
      <w:rFonts w:ascii="Arial" w:hAnsi="Arial"/>
      <w:sz w:val="18"/>
    </w:rPr>
  </w:style>
  <w:style w:type="paragraph" w:styleId="a7">
    <w:name w:val="Title"/>
    <w:basedOn w:val="a"/>
    <w:link w:val="a8"/>
    <w:qFormat/>
    <w:rsid w:val="007E2FC8"/>
    <w:pPr>
      <w:overflowPunct w:val="0"/>
      <w:autoSpaceDE w:val="0"/>
      <w:autoSpaceDN w:val="0"/>
      <w:adjustRightInd w:val="0"/>
      <w:spacing w:after="120"/>
      <w:jc w:val="center"/>
      <w:textAlignment w:val="baseline"/>
    </w:pPr>
    <w:rPr>
      <w:rFonts w:ascii="Arial" w:hAnsi="Arial"/>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rFonts w:ascii="Arial" w:hAnsi="Arial"/>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styleId="aa">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Task Body"/>
    <w:basedOn w:val="a"/>
    <w:link w:val="ab"/>
    <w:uiPriority w:val="34"/>
    <w:qFormat/>
    <w:rsid w:val="00FF62DA"/>
    <w:pPr>
      <w:ind w:leftChars="400" w:left="840"/>
    </w:pPr>
  </w:style>
  <w:style w:type="table" w:styleId="ac">
    <w:name w:val="Table Grid"/>
    <w:basedOn w:val="a1"/>
    <w:uiPriority w:val="39"/>
    <w:qFormat/>
    <w:rsid w:val="000F2C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a"/>
    <w:uiPriority w:val="34"/>
    <w:qFormat/>
    <w:locked/>
    <w:rsid w:val="000F2C95"/>
    <w:rPr>
      <w:rFonts w:ascii="Times New Roman" w:eastAsia="ＭＳ 明朝" w:hAnsi="Times New Roman" w:cs="Times New Roman"/>
      <w:kern w:val="0"/>
      <w:sz w:val="20"/>
      <w:szCs w:val="20"/>
      <w:lang w:val="en-GB" w:eastAsia="en-US"/>
    </w:rPr>
  </w:style>
  <w:style w:type="table" w:customStyle="1" w:styleId="11">
    <w:name w:val="表 (格子)1"/>
    <w:basedOn w:val="a1"/>
    <w:next w:val="ac"/>
    <w:uiPriority w:val="39"/>
    <w:rsid w:val="00C46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2A2FF9"/>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table" w:customStyle="1" w:styleId="21">
    <w:name w:val="表 (格子)2"/>
    <w:basedOn w:val="a1"/>
    <w:next w:val="ac"/>
    <w:uiPriority w:val="39"/>
    <w:rsid w:val="006D27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見出し 3 (文字)"/>
    <w:basedOn w:val="a0"/>
    <w:link w:val="3"/>
    <w:uiPriority w:val="9"/>
    <w:semiHidden/>
    <w:rsid w:val="00694325"/>
    <w:rPr>
      <w:rFonts w:asciiTheme="majorHAnsi" w:eastAsiaTheme="majorEastAsia" w:hAnsiTheme="majorHAnsi" w:cstheme="majorBidi"/>
      <w:kern w:val="0"/>
      <w:sz w:val="22"/>
      <w:szCs w:val="20"/>
      <w:lang w:val="en-GB" w:eastAsia="en-US"/>
    </w:rPr>
  </w:style>
  <w:style w:type="table" w:customStyle="1" w:styleId="31">
    <w:name w:val="表 (格子)3"/>
    <w:basedOn w:val="a1"/>
    <w:next w:val="ac"/>
    <w:uiPriority w:val="39"/>
    <w:rsid w:val="006225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Revision"/>
    <w:hidden/>
    <w:uiPriority w:val="99"/>
    <w:semiHidden/>
    <w:rsid w:val="007D6859"/>
    <w:rPr>
      <w:rFonts w:ascii="Times New Roman" w:eastAsia="ＭＳ 明朝" w:hAnsi="Times New Roman" w:cs="Times New Roman"/>
      <w:kern w:val="0"/>
      <w:sz w:val="22"/>
      <w:szCs w:val="20"/>
      <w:lang w:val="en-GB" w:eastAsia="en-US"/>
    </w:rPr>
  </w:style>
  <w:style w:type="paragraph" w:customStyle="1" w:styleId="ObservationandProposal">
    <w:name w:val="Observation and Proposal"/>
    <w:basedOn w:val="a"/>
    <w:link w:val="ObservationandProposal0"/>
    <w:qFormat/>
    <w:rsid w:val="000F1FE0"/>
    <w:pPr>
      <w:ind w:left="1553" w:hangingChars="703" w:hanging="1553"/>
    </w:pPr>
    <w:rPr>
      <w:b/>
      <w:bCs/>
      <w:szCs w:val="22"/>
      <w:lang w:eastAsia="ja-JP"/>
    </w:rPr>
  </w:style>
  <w:style w:type="paragraph" w:customStyle="1" w:styleId="Alt">
    <w:name w:val="Alt"/>
    <w:basedOn w:val="a"/>
    <w:link w:val="Alt0"/>
    <w:qFormat/>
    <w:rsid w:val="00F4104B"/>
    <w:pPr>
      <w:ind w:left="572" w:hangingChars="259" w:hanging="572"/>
    </w:pPr>
    <w:rPr>
      <w:bCs/>
      <w:szCs w:val="22"/>
      <w:lang w:eastAsia="ja-JP"/>
    </w:rPr>
  </w:style>
  <w:style w:type="character" w:customStyle="1" w:styleId="ObservationandProposal0">
    <w:name w:val="Observation and Proposal (文字)"/>
    <w:basedOn w:val="a0"/>
    <w:link w:val="ObservationandProposal"/>
    <w:rsid w:val="000F1FE0"/>
    <w:rPr>
      <w:rFonts w:ascii="Times New Roman" w:eastAsia="ＭＳ 明朝" w:hAnsi="Times New Roman" w:cs="Times New Roman"/>
      <w:b/>
      <w:bCs/>
      <w:kern w:val="0"/>
      <w:sz w:val="22"/>
      <w:lang w:val="en-GB"/>
    </w:rPr>
  </w:style>
  <w:style w:type="character" w:customStyle="1" w:styleId="Alt0">
    <w:name w:val="Alt (文字)"/>
    <w:basedOn w:val="a0"/>
    <w:link w:val="Alt"/>
    <w:rsid w:val="00F4104B"/>
    <w:rPr>
      <w:rFonts w:ascii="Times New Roman" w:eastAsia="ＭＳ 明朝" w:hAnsi="Times New Roman" w:cs="Times New Roman"/>
      <w:bCs/>
      <w:kern w:val="0"/>
      <w:sz w:val="22"/>
      <w:lang w:val="en-GB"/>
    </w:rPr>
  </w:style>
  <w:style w:type="paragraph" w:customStyle="1" w:styleId="B1">
    <w:name w:val="B1"/>
    <w:basedOn w:val="ae"/>
    <w:link w:val="B1Char"/>
    <w:qFormat/>
    <w:rsid w:val="0084658A"/>
    <w:pPr>
      <w:ind w:left="568" w:firstLineChars="0" w:hanging="284"/>
      <w:contextualSpacing w:val="0"/>
    </w:pPr>
    <w:rPr>
      <w:rFonts w:eastAsia="ＭＳ ゴシック"/>
      <w:sz w:val="24"/>
      <w:lang w:eastAsia="ja-JP"/>
    </w:rPr>
  </w:style>
  <w:style w:type="paragraph" w:customStyle="1" w:styleId="B2">
    <w:name w:val="B2"/>
    <w:basedOn w:val="22"/>
    <w:link w:val="B2Char"/>
    <w:qFormat/>
    <w:rsid w:val="0084658A"/>
    <w:pPr>
      <w:overflowPunct w:val="0"/>
      <w:autoSpaceDE w:val="0"/>
      <w:autoSpaceDN w:val="0"/>
      <w:adjustRightInd w:val="0"/>
      <w:ind w:leftChars="0" w:left="851" w:firstLineChars="0" w:hanging="284"/>
      <w:contextualSpacing w:val="0"/>
      <w:textAlignment w:val="baseline"/>
    </w:pPr>
    <w:rPr>
      <w:rFonts w:eastAsia="ＭＳ ゴシック"/>
      <w:sz w:val="24"/>
      <w:lang w:eastAsia="ja-JP"/>
    </w:rPr>
  </w:style>
  <w:style w:type="character" w:customStyle="1" w:styleId="B1Char">
    <w:name w:val="B1 Char"/>
    <w:link w:val="B1"/>
    <w:rsid w:val="0084658A"/>
    <w:rPr>
      <w:rFonts w:ascii="Times New Roman" w:eastAsia="ＭＳ ゴシック" w:hAnsi="Times New Roman" w:cs="Times New Roman"/>
      <w:kern w:val="0"/>
      <w:sz w:val="24"/>
      <w:szCs w:val="20"/>
      <w:lang w:val="en-GB"/>
    </w:rPr>
  </w:style>
  <w:style w:type="character" w:customStyle="1" w:styleId="B2Char">
    <w:name w:val="B2 Char"/>
    <w:link w:val="B2"/>
    <w:qFormat/>
    <w:rsid w:val="0084658A"/>
    <w:rPr>
      <w:rFonts w:ascii="Times New Roman" w:eastAsia="ＭＳ ゴシック" w:hAnsi="Times New Roman" w:cs="Times New Roman"/>
      <w:kern w:val="0"/>
      <w:sz w:val="24"/>
      <w:szCs w:val="20"/>
      <w:lang w:val="en-GB"/>
    </w:rPr>
  </w:style>
  <w:style w:type="paragraph" w:styleId="ae">
    <w:name w:val="List"/>
    <w:basedOn w:val="a"/>
    <w:uiPriority w:val="99"/>
    <w:semiHidden/>
    <w:unhideWhenUsed/>
    <w:rsid w:val="0084658A"/>
    <w:pPr>
      <w:ind w:left="200" w:hangingChars="200" w:hanging="200"/>
      <w:contextualSpacing/>
    </w:pPr>
  </w:style>
  <w:style w:type="paragraph" w:styleId="22">
    <w:name w:val="List 2"/>
    <w:basedOn w:val="a"/>
    <w:uiPriority w:val="99"/>
    <w:semiHidden/>
    <w:unhideWhenUsed/>
    <w:rsid w:val="0084658A"/>
    <w:pPr>
      <w:ind w:leftChars="200" w:left="100" w:hangingChars="200" w:hanging="200"/>
      <w:contextualSpacing/>
    </w:pPr>
  </w:style>
  <w:style w:type="paragraph" w:customStyle="1" w:styleId="PL">
    <w:name w:val="PL"/>
    <w:link w:val="PLChar"/>
    <w:qFormat/>
    <w:rsid w:val="00235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2352A6"/>
    <w:rPr>
      <w:rFonts w:ascii="Courier New" w:eastAsia="Times New Roman" w:hAnsi="Courier New" w:cs="Times New Roman"/>
      <w:noProof/>
      <w:kern w:val="0"/>
      <w:sz w:val="16"/>
      <w:szCs w:val="20"/>
      <w:shd w:val="clear" w:color="auto" w:fill="E6E6E6"/>
      <w:lang w:val="en-GB" w:eastAsia="en-GB"/>
    </w:rPr>
  </w:style>
  <w:style w:type="paragraph" w:customStyle="1" w:styleId="NO">
    <w:name w:val="NO"/>
    <w:basedOn w:val="a"/>
    <w:link w:val="NOChar"/>
    <w:qFormat/>
    <w:rsid w:val="009B3BE5"/>
    <w:pPr>
      <w:keepLines/>
      <w:overflowPunct w:val="0"/>
      <w:autoSpaceDE w:val="0"/>
      <w:autoSpaceDN w:val="0"/>
      <w:adjustRightInd w:val="0"/>
      <w:ind w:left="1135" w:hanging="851"/>
      <w:textAlignment w:val="baseline"/>
    </w:pPr>
    <w:rPr>
      <w:rFonts w:eastAsia="Times New Roman"/>
      <w:color w:val="000000"/>
      <w:sz w:val="20"/>
      <w:lang w:val="en-US" w:eastAsia="ja-JP"/>
    </w:rPr>
  </w:style>
  <w:style w:type="character" w:customStyle="1" w:styleId="NOChar">
    <w:name w:val="NO Char"/>
    <w:link w:val="NO"/>
    <w:locked/>
    <w:rsid w:val="009B3BE5"/>
    <w:rPr>
      <w:rFonts w:ascii="Times New Roman" w:eastAsia="Times New Roman" w:hAnsi="Times New Roman" w:cs="Times New Roman"/>
      <w:color w:val="000000"/>
      <w:kern w:val="0"/>
      <w:sz w:val="20"/>
      <w:szCs w:val="20"/>
    </w:rPr>
  </w:style>
  <w:style w:type="paragraph" w:customStyle="1" w:styleId="Doc-text2">
    <w:name w:val="Doc-text2"/>
    <w:basedOn w:val="a"/>
    <w:link w:val="Doc-text2Char"/>
    <w:qFormat/>
    <w:rsid w:val="009F382E"/>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sid w:val="009F382E"/>
    <w:rPr>
      <w:rFonts w:ascii="Arial" w:eastAsia="ＭＳ 明朝"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56199">
      <w:bodyDiv w:val="1"/>
      <w:marLeft w:val="0"/>
      <w:marRight w:val="0"/>
      <w:marTop w:val="0"/>
      <w:marBottom w:val="0"/>
      <w:divBdr>
        <w:top w:val="none" w:sz="0" w:space="0" w:color="auto"/>
        <w:left w:val="none" w:sz="0" w:space="0" w:color="auto"/>
        <w:bottom w:val="none" w:sz="0" w:space="0" w:color="auto"/>
        <w:right w:val="none" w:sz="0" w:space="0" w:color="auto"/>
      </w:divBdr>
    </w:div>
    <w:div w:id="201215862">
      <w:bodyDiv w:val="1"/>
      <w:marLeft w:val="0"/>
      <w:marRight w:val="0"/>
      <w:marTop w:val="0"/>
      <w:marBottom w:val="0"/>
      <w:divBdr>
        <w:top w:val="none" w:sz="0" w:space="0" w:color="auto"/>
        <w:left w:val="none" w:sz="0" w:space="0" w:color="auto"/>
        <w:bottom w:val="none" w:sz="0" w:space="0" w:color="auto"/>
        <w:right w:val="none" w:sz="0" w:space="0" w:color="auto"/>
      </w:divBdr>
    </w:div>
    <w:div w:id="267784967">
      <w:bodyDiv w:val="1"/>
      <w:marLeft w:val="0"/>
      <w:marRight w:val="0"/>
      <w:marTop w:val="0"/>
      <w:marBottom w:val="0"/>
      <w:divBdr>
        <w:top w:val="none" w:sz="0" w:space="0" w:color="auto"/>
        <w:left w:val="none" w:sz="0" w:space="0" w:color="auto"/>
        <w:bottom w:val="none" w:sz="0" w:space="0" w:color="auto"/>
        <w:right w:val="none" w:sz="0" w:space="0" w:color="auto"/>
      </w:divBdr>
    </w:div>
    <w:div w:id="292177023">
      <w:bodyDiv w:val="1"/>
      <w:marLeft w:val="0"/>
      <w:marRight w:val="0"/>
      <w:marTop w:val="0"/>
      <w:marBottom w:val="0"/>
      <w:divBdr>
        <w:top w:val="none" w:sz="0" w:space="0" w:color="auto"/>
        <w:left w:val="none" w:sz="0" w:space="0" w:color="auto"/>
        <w:bottom w:val="none" w:sz="0" w:space="0" w:color="auto"/>
        <w:right w:val="none" w:sz="0" w:space="0" w:color="auto"/>
      </w:divBdr>
    </w:div>
    <w:div w:id="336881434">
      <w:bodyDiv w:val="1"/>
      <w:marLeft w:val="0"/>
      <w:marRight w:val="0"/>
      <w:marTop w:val="0"/>
      <w:marBottom w:val="0"/>
      <w:divBdr>
        <w:top w:val="none" w:sz="0" w:space="0" w:color="auto"/>
        <w:left w:val="none" w:sz="0" w:space="0" w:color="auto"/>
        <w:bottom w:val="none" w:sz="0" w:space="0" w:color="auto"/>
        <w:right w:val="none" w:sz="0" w:space="0" w:color="auto"/>
      </w:divBdr>
    </w:div>
    <w:div w:id="388185368">
      <w:bodyDiv w:val="1"/>
      <w:marLeft w:val="0"/>
      <w:marRight w:val="0"/>
      <w:marTop w:val="0"/>
      <w:marBottom w:val="0"/>
      <w:divBdr>
        <w:top w:val="none" w:sz="0" w:space="0" w:color="auto"/>
        <w:left w:val="none" w:sz="0" w:space="0" w:color="auto"/>
        <w:bottom w:val="none" w:sz="0" w:space="0" w:color="auto"/>
        <w:right w:val="none" w:sz="0" w:space="0" w:color="auto"/>
      </w:divBdr>
    </w:div>
    <w:div w:id="441417427">
      <w:bodyDiv w:val="1"/>
      <w:marLeft w:val="0"/>
      <w:marRight w:val="0"/>
      <w:marTop w:val="0"/>
      <w:marBottom w:val="0"/>
      <w:divBdr>
        <w:top w:val="none" w:sz="0" w:space="0" w:color="auto"/>
        <w:left w:val="none" w:sz="0" w:space="0" w:color="auto"/>
        <w:bottom w:val="none" w:sz="0" w:space="0" w:color="auto"/>
        <w:right w:val="none" w:sz="0" w:space="0" w:color="auto"/>
      </w:divBdr>
    </w:div>
    <w:div w:id="547449205">
      <w:bodyDiv w:val="1"/>
      <w:marLeft w:val="0"/>
      <w:marRight w:val="0"/>
      <w:marTop w:val="0"/>
      <w:marBottom w:val="0"/>
      <w:divBdr>
        <w:top w:val="none" w:sz="0" w:space="0" w:color="auto"/>
        <w:left w:val="none" w:sz="0" w:space="0" w:color="auto"/>
        <w:bottom w:val="none" w:sz="0" w:space="0" w:color="auto"/>
        <w:right w:val="none" w:sz="0" w:space="0" w:color="auto"/>
      </w:divBdr>
    </w:div>
    <w:div w:id="829173761">
      <w:bodyDiv w:val="1"/>
      <w:marLeft w:val="0"/>
      <w:marRight w:val="0"/>
      <w:marTop w:val="0"/>
      <w:marBottom w:val="0"/>
      <w:divBdr>
        <w:top w:val="none" w:sz="0" w:space="0" w:color="auto"/>
        <w:left w:val="none" w:sz="0" w:space="0" w:color="auto"/>
        <w:bottom w:val="none" w:sz="0" w:space="0" w:color="auto"/>
        <w:right w:val="none" w:sz="0" w:space="0" w:color="auto"/>
      </w:divBdr>
    </w:div>
    <w:div w:id="832599237">
      <w:bodyDiv w:val="1"/>
      <w:marLeft w:val="0"/>
      <w:marRight w:val="0"/>
      <w:marTop w:val="0"/>
      <w:marBottom w:val="0"/>
      <w:divBdr>
        <w:top w:val="none" w:sz="0" w:space="0" w:color="auto"/>
        <w:left w:val="none" w:sz="0" w:space="0" w:color="auto"/>
        <w:bottom w:val="none" w:sz="0" w:space="0" w:color="auto"/>
        <w:right w:val="none" w:sz="0" w:space="0" w:color="auto"/>
      </w:divBdr>
    </w:div>
    <w:div w:id="863788360">
      <w:bodyDiv w:val="1"/>
      <w:marLeft w:val="0"/>
      <w:marRight w:val="0"/>
      <w:marTop w:val="0"/>
      <w:marBottom w:val="0"/>
      <w:divBdr>
        <w:top w:val="none" w:sz="0" w:space="0" w:color="auto"/>
        <w:left w:val="none" w:sz="0" w:space="0" w:color="auto"/>
        <w:bottom w:val="none" w:sz="0" w:space="0" w:color="auto"/>
        <w:right w:val="none" w:sz="0" w:space="0" w:color="auto"/>
      </w:divBdr>
    </w:div>
    <w:div w:id="1190335453">
      <w:bodyDiv w:val="1"/>
      <w:marLeft w:val="0"/>
      <w:marRight w:val="0"/>
      <w:marTop w:val="0"/>
      <w:marBottom w:val="0"/>
      <w:divBdr>
        <w:top w:val="none" w:sz="0" w:space="0" w:color="auto"/>
        <w:left w:val="none" w:sz="0" w:space="0" w:color="auto"/>
        <w:bottom w:val="none" w:sz="0" w:space="0" w:color="auto"/>
        <w:right w:val="none" w:sz="0" w:space="0" w:color="auto"/>
      </w:divBdr>
    </w:div>
    <w:div w:id="1384793309">
      <w:bodyDiv w:val="1"/>
      <w:marLeft w:val="0"/>
      <w:marRight w:val="0"/>
      <w:marTop w:val="0"/>
      <w:marBottom w:val="0"/>
      <w:divBdr>
        <w:top w:val="none" w:sz="0" w:space="0" w:color="auto"/>
        <w:left w:val="none" w:sz="0" w:space="0" w:color="auto"/>
        <w:bottom w:val="none" w:sz="0" w:space="0" w:color="auto"/>
        <w:right w:val="none" w:sz="0" w:space="0" w:color="auto"/>
      </w:divBdr>
    </w:div>
    <w:div w:id="1493177103">
      <w:bodyDiv w:val="1"/>
      <w:marLeft w:val="0"/>
      <w:marRight w:val="0"/>
      <w:marTop w:val="0"/>
      <w:marBottom w:val="0"/>
      <w:divBdr>
        <w:top w:val="none" w:sz="0" w:space="0" w:color="auto"/>
        <w:left w:val="none" w:sz="0" w:space="0" w:color="auto"/>
        <w:bottom w:val="none" w:sz="0" w:space="0" w:color="auto"/>
        <w:right w:val="none" w:sz="0" w:space="0" w:color="auto"/>
      </w:divBdr>
    </w:div>
    <w:div w:id="1586302771">
      <w:bodyDiv w:val="1"/>
      <w:marLeft w:val="0"/>
      <w:marRight w:val="0"/>
      <w:marTop w:val="0"/>
      <w:marBottom w:val="0"/>
      <w:divBdr>
        <w:top w:val="none" w:sz="0" w:space="0" w:color="auto"/>
        <w:left w:val="none" w:sz="0" w:space="0" w:color="auto"/>
        <w:bottom w:val="none" w:sz="0" w:space="0" w:color="auto"/>
        <w:right w:val="none" w:sz="0" w:space="0" w:color="auto"/>
      </w:divBdr>
    </w:div>
    <w:div w:id="1837648645">
      <w:bodyDiv w:val="1"/>
      <w:marLeft w:val="0"/>
      <w:marRight w:val="0"/>
      <w:marTop w:val="0"/>
      <w:marBottom w:val="0"/>
      <w:divBdr>
        <w:top w:val="none" w:sz="0" w:space="0" w:color="auto"/>
        <w:left w:val="none" w:sz="0" w:space="0" w:color="auto"/>
        <w:bottom w:val="none" w:sz="0" w:space="0" w:color="auto"/>
        <w:right w:val="none" w:sz="0" w:space="0" w:color="auto"/>
      </w:divBdr>
    </w:div>
    <w:div w:id="1854687541">
      <w:bodyDiv w:val="1"/>
      <w:marLeft w:val="0"/>
      <w:marRight w:val="0"/>
      <w:marTop w:val="0"/>
      <w:marBottom w:val="0"/>
      <w:divBdr>
        <w:top w:val="none" w:sz="0" w:space="0" w:color="auto"/>
        <w:left w:val="none" w:sz="0" w:space="0" w:color="auto"/>
        <w:bottom w:val="none" w:sz="0" w:space="0" w:color="auto"/>
        <w:right w:val="none" w:sz="0" w:space="0" w:color="auto"/>
      </w:divBdr>
    </w:div>
    <w:div w:id="2056925531">
      <w:bodyDiv w:val="1"/>
      <w:marLeft w:val="0"/>
      <w:marRight w:val="0"/>
      <w:marTop w:val="0"/>
      <w:marBottom w:val="0"/>
      <w:divBdr>
        <w:top w:val="none" w:sz="0" w:space="0" w:color="auto"/>
        <w:left w:val="none" w:sz="0" w:space="0" w:color="auto"/>
        <w:bottom w:val="none" w:sz="0" w:space="0" w:color="auto"/>
        <w:right w:val="none" w:sz="0" w:space="0" w:color="auto"/>
      </w:divBdr>
    </w:div>
    <w:div w:id="2125533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97834-05AE-4BE9-99B5-5A9171CD4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560</TotalTime>
  <Pages>3</Pages>
  <Words>738</Words>
  <Characters>4211</Characters>
  <Application>Microsoft Office Word</Application>
  <DocSecurity>0</DocSecurity>
  <Lines>35</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Shoki Inoue (井上 翔貴)</cp:lastModifiedBy>
  <cp:revision>11</cp:revision>
  <cp:lastPrinted>2023-04-07T07:17:00Z</cp:lastPrinted>
  <dcterms:created xsi:type="dcterms:W3CDTF">2023-04-06T15:36:00Z</dcterms:created>
  <dcterms:modified xsi:type="dcterms:W3CDTF">2023-05-12T08:11:00Z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2023-05-12T03:58:52Z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2cf13983-fbd6-439c-9720-ff783c83747f</vt:lpwstr>
  </property>
  <property fmtid="{D5CDD505-2E9C-101B-9397-08002B2CF9AE}" pid="8" name="MSIP_Label_f7b7771f-98a2-4ec9-8160-ee37e9359e20_ContentBits">
    <vt:lpwstr>0</vt:lpwstr>
  </property>
</Properties>
</file>